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0A9" w:rsidRDefault="00AC30A9" w:rsidP="00AC30A9">
      <w:pPr>
        <w:tabs>
          <w:tab w:val="left" w:pos="8505"/>
        </w:tabs>
        <w:jc w:val="both"/>
        <w:rPr>
          <w:sz w:val="22"/>
        </w:rPr>
      </w:pPr>
      <w:r>
        <w:rPr>
          <w:sz w:val="22"/>
        </w:rPr>
        <w:t>- Diplôme d’Etudes Approfondies, Droit Public Fondamental.</w:t>
      </w:r>
    </w:p>
    <w:p w:rsidR="00AC30A9" w:rsidRDefault="00AC30A9" w:rsidP="00AC30A9">
      <w:pPr>
        <w:tabs>
          <w:tab w:val="left" w:pos="8505"/>
        </w:tabs>
        <w:jc w:val="both"/>
        <w:rPr>
          <w:sz w:val="22"/>
        </w:rPr>
      </w:pPr>
      <w:r>
        <w:rPr>
          <w:sz w:val="22"/>
        </w:rPr>
        <w:t>- Diplôme d’Etudes Approfondies, Histoire de la Vie et des Idées Politiques.</w:t>
      </w:r>
    </w:p>
    <w:p w:rsidR="00AC30A9" w:rsidRDefault="00AC30A9" w:rsidP="00AC30A9">
      <w:pPr>
        <w:tabs>
          <w:tab w:val="left" w:pos="8505"/>
        </w:tabs>
        <w:jc w:val="both"/>
        <w:rPr>
          <w:sz w:val="22"/>
        </w:rPr>
      </w:pPr>
      <w:r w:rsidRPr="00AC30A9">
        <w:rPr>
          <w:sz w:val="22"/>
        </w:rPr>
        <w:t>- Doctorat en droit public, 1983 « L’indemnisation : contribution à l’étude du rapprochement des jurisprudences administrative et judiciaire ».</w:t>
      </w:r>
    </w:p>
    <w:p w:rsidR="00AC30A9" w:rsidRDefault="00AC30A9" w:rsidP="00AC30A9">
      <w:pPr>
        <w:jc w:val="both"/>
        <w:rPr>
          <w:b/>
          <w:sz w:val="22"/>
        </w:rPr>
      </w:pPr>
    </w:p>
    <w:p w:rsidR="00AC30A9" w:rsidRPr="005C7DD2" w:rsidRDefault="00AC30A9" w:rsidP="00AC30A9">
      <w:pPr>
        <w:jc w:val="both"/>
        <w:rPr>
          <w:b/>
          <w:sz w:val="22"/>
          <w:u w:val="single"/>
        </w:rPr>
      </w:pPr>
      <w:r w:rsidRPr="005C7DD2">
        <w:rPr>
          <w:b/>
          <w:sz w:val="22"/>
          <w:u w:val="single"/>
        </w:rPr>
        <w:t xml:space="preserve">Domaines d’intervention </w:t>
      </w:r>
    </w:p>
    <w:p w:rsidR="005C7DD2" w:rsidRDefault="005C7DD2" w:rsidP="00AC30A9">
      <w:pPr>
        <w:jc w:val="both"/>
        <w:rPr>
          <w:b/>
          <w:sz w:val="22"/>
        </w:rPr>
      </w:pPr>
    </w:p>
    <w:p w:rsidR="005C7DD2" w:rsidRDefault="005C7DD2" w:rsidP="005C7DD2">
      <w:pPr>
        <w:pStyle w:val="Paragraphedeliste"/>
        <w:numPr>
          <w:ilvl w:val="0"/>
          <w:numId w:val="15"/>
        </w:numPr>
        <w:jc w:val="both"/>
        <w:rPr>
          <w:b/>
          <w:sz w:val="22"/>
        </w:rPr>
      </w:pPr>
      <w:r>
        <w:rPr>
          <w:b/>
          <w:sz w:val="22"/>
        </w:rPr>
        <w:t>Droit administratif général et droit administratif des biens</w:t>
      </w:r>
    </w:p>
    <w:p w:rsidR="005C7DD2" w:rsidRDefault="005C7DD2" w:rsidP="005C7DD2">
      <w:pPr>
        <w:pStyle w:val="Paragraphedeliste"/>
        <w:numPr>
          <w:ilvl w:val="0"/>
          <w:numId w:val="15"/>
        </w:numPr>
        <w:jc w:val="both"/>
        <w:rPr>
          <w:b/>
          <w:sz w:val="22"/>
        </w:rPr>
      </w:pPr>
      <w:r>
        <w:rPr>
          <w:b/>
          <w:sz w:val="22"/>
        </w:rPr>
        <w:t xml:space="preserve">Droit de l’aménagement du territoire et de la décentralisation </w:t>
      </w:r>
    </w:p>
    <w:p w:rsidR="005C7DD2" w:rsidRDefault="005C7DD2" w:rsidP="005C7DD2">
      <w:pPr>
        <w:pStyle w:val="Paragraphedeliste"/>
        <w:numPr>
          <w:ilvl w:val="0"/>
          <w:numId w:val="15"/>
        </w:numPr>
        <w:jc w:val="both"/>
        <w:rPr>
          <w:b/>
          <w:sz w:val="22"/>
        </w:rPr>
      </w:pPr>
      <w:r>
        <w:rPr>
          <w:b/>
          <w:sz w:val="22"/>
        </w:rPr>
        <w:t>Droit public économique</w:t>
      </w:r>
    </w:p>
    <w:p w:rsidR="005C7DD2" w:rsidRDefault="005C7DD2" w:rsidP="005C7DD2">
      <w:pPr>
        <w:pStyle w:val="Paragraphedeliste"/>
        <w:numPr>
          <w:ilvl w:val="0"/>
          <w:numId w:val="15"/>
        </w:numPr>
        <w:jc w:val="both"/>
        <w:rPr>
          <w:b/>
          <w:sz w:val="22"/>
        </w:rPr>
      </w:pPr>
      <w:r>
        <w:rPr>
          <w:b/>
          <w:sz w:val="22"/>
        </w:rPr>
        <w:t xml:space="preserve">Droit de l’environnement </w:t>
      </w:r>
    </w:p>
    <w:p w:rsidR="005C7DD2" w:rsidRDefault="005C7DD2" w:rsidP="005C7DD2">
      <w:pPr>
        <w:pStyle w:val="Paragraphedeliste"/>
        <w:numPr>
          <w:ilvl w:val="0"/>
          <w:numId w:val="15"/>
        </w:numPr>
        <w:jc w:val="both"/>
        <w:rPr>
          <w:b/>
          <w:sz w:val="22"/>
        </w:rPr>
      </w:pPr>
      <w:r>
        <w:rPr>
          <w:b/>
          <w:sz w:val="22"/>
        </w:rPr>
        <w:t>Droit médical</w:t>
      </w:r>
    </w:p>
    <w:p w:rsidR="00997833" w:rsidRPr="00324710" w:rsidRDefault="00997833" w:rsidP="005C7DD2">
      <w:pPr>
        <w:pStyle w:val="Paragraphedeliste"/>
        <w:numPr>
          <w:ilvl w:val="0"/>
          <w:numId w:val="15"/>
        </w:numPr>
        <w:jc w:val="both"/>
        <w:rPr>
          <w:b/>
          <w:sz w:val="22"/>
        </w:rPr>
      </w:pPr>
      <w:r w:rsidRPr="00324710">
        <w:rPr>
          <w:b/>
          <w:sz w:val="22"/>
        </w:rPr>
        <w:t xml:space="preserve">Finances publiques </w:t>
      </w:r>
    </w:p>
    <w:p w:rsidR="00997833" w:rsidRPr="00324710" w:rsidRDefault="00997833" w:rsidP="005C7DD2">
      <w:pPr>
        <w:pStyle w:val="Paragraphedeliste"/>
        <w:numPr>
          <w:ilvl w:val="0"/>
          <w:numId w:val="15"/>
        </w:numPr>
        <w:jc w:val="both"/>
        <w:rPr>
          <w:b/>
          <w:sz w:val="22"/>
        </w:rPr>
      </w:pPr>
      <w:r w:rsidRPr="00324710">
        <w:rPr>
          <w:b/>
          <w:sz w:val="22"/>
        </w:rPr>
        <w:t xml:space="preserve">Contentieux administratif </w:t>
      </w:r>
    </w:p>
    <w:p w:rsidR="005C7DD2" w:rsidRDefault="005C7DD2" w:rsidP="00AC30A9">
      <w:pPr>
        <w:jc w:val="both"/>
        <w:rPr>
          <w:b/>
          <w:sz w:val="22"/>
        </w:rPr>
      </w:pPr>
    </w:p>
    <w:p w:rsidR="00AC30A9" w:rsidRDefault="005C7DD2" w:rsidP="00AC30A9">
      <w:pPr>
        <w:jc w:val="both"/>
        <w:rPr>
          <w:b/>
          <w:sz w:val="22"/>
          <w:u w:val="single"/>
        </w:rPr>
      </w:pPr>
      <w:r>
        <w:rPr>
          <w:b/>
          <w:sz w:val="22"/>
          <w:u w:val="single"/>
        </w:rPr>
        <w:t xml:space="preserve">Publications </w:t>
      </w:r>
      <w:r w:rsidR="00BE40DF">
        <w:rPr>
          <w:b/>
          <w:sz w:val="22"/>
          <w:u w:val="single"/>
        </w:rPr>
        <w:t>et participation à des colloques</w:t>
      </w:r>
    </w:p>
    <w:p w:rsidR="00C842FD" w:rsidRPr="00C842FD" w:rsidRDefault="00C842FD" w:rsidP="00C842FD">
      <w:pPr>
        <w:overflowPunct/>
        <w:autoSpaceDE/>
        <w:autoSpaceDN/>
        <w:adjustRightInd/>
        <w:jc w:val="both"/>
        <w:rPr>
          <w:rFonts w:ascii="Book Antiqua" w:hAnsi="Book Antiqua"/>
          <w:sz w:val="22"/>
        </w:rPr>
      </w:pPr>
    </w:p>
    <w:p w:rsidR="005C7DD2" w:rsidRDefault="005C7DD2" w:rsidP="00714B54">
      <w:pPr>
        <w:pStyle w:val="Paragraphedeliste"/>
        <w:numPr>
          <w:ilvl w:val="0"/>
          <w:numId w:val="17"/>
        </w:numPr>
        <w:jc w:val="both"/>
      </w:pPr>
      <w:r>
        <w:t xml:space="preserve"> « Déchets urbains : les responsabilités à l’échelon local », Droit et Ville n° 29, 1990, p 91 à 160.</w:t>
      </w:r>
    </w:p>
    <w:p w:rsidR="005C7DD2" w:rsidRDefault="005C7DD2" w:rsidP="005C7DD2">
      <w:pPr>
        <w:jc w:val="both"/>
      </w:pPr>
    </w:p>
    <w:p w:rsidR="005C7DD2" w:rsidRDefault="005C7DD2" w:rsidP="00714B54">
      <w:pPr>
        <w:pStyle w:val="Paragraphedeliste"/>
        <w:numPr>
          <w:ilvl w:val="0"/>
          <w:numId w:val="17"/>
        </w:numPr>
        <w:jc w:val="both"/>
      </w:pPr>
      <w:r>
        <w:t>« Le maire et l’élimination des déchets », Annales de la Voirie et de l’Environnement, n° 1492-1493, décembre 1990, p 28 à 35.</w:t>
      </w:r>
    </w:p>
    <w:p w:rsidR="005C7DD2" w:rsidRDefault="005C7DD2" w:rsidP="005C7DD2">
      <w:pPr>
        <w:jc w:val="both"/>
      </w:pPr>
    </w:p>
    <w:p w:rsidR="005C7DD2" w:rsidRDefault="005C7DD2" w:rsidP="00714B54">
      <w:pPr>
        <w:pStyle w:val="Paragraphedeliste"/>
        <w:numPr>
          <w:ilvl w:val="0"/>
          <w:numId w:val="17"/>
        </w:numPr>
        <w:jc w:val="both"/>
      </w:pPr>
      <w:r>
        <w:t>« La pollution des eaux littorales -A propos du jugement du Tribunal administratif de Nice, 14 février 1991, relatif à la déclaration d’utilité publique de la station d’épuration du Cap Sicié, Var- », Droit et Ville, n° 32, 1991, p 145 à 178.</w:t>
      </w:r>
    </w:p>
    <w:p w:rsidR="005C7DD2" w:rsidRDefault="005C7DD2" w:rsidP="005C7DD2">
      <w:pPr>
        <w:jc w:val="both"/>
      </w:pPr>
    </w:p>
    <w:p w:rsidR="005C7DD2" w:rsidRDefault="005C7DD2" w:rsidP="00714B54">
      <w:pPr>
        <w:pStyle w:val="Paragraphedeliste"/>
        <w:numPr>
          <w:ilvl w:val="0"/>
          <w:numId w:val="17"/>
        </w:numPr>
        <w:jc w:val="both"/>
      </w:pPr>
      <w:r>
        <w:t>« Déchets urbains et responsabilités locales », rencontres Canada-Europe, « Environnement et déchets », organisée le 31 mai 1991 par le Centre d’Etudes Canadiennes de Montpellier (CECAM).</w:t>
      </w:r>
    </w:p>
    <w:p w:rsidR="005C7DD2" w:rsidRDefault="005C7DD2" w:rsidP="005C7DD2">
      <w:pPr>
        <w:jc w:val="both"/>
      </w:pPr>
    </w:p>
    <w:p w:rsidR="005C7DD2" w:rsidRDefault="005C7DD2" w:rsidP="00714B54">
      <w:pPr>
        <w:pStyle w:val="Paragraphedeliste"/>
        <w:numPr>
          <w:ilvl w:val="0"/>
          <w:numId w:val="17"/>
        </w:numPr>
        <w:jc w:val="both"/>
      </w:pPr>
      <w:r>
        <w:t>« Déchets industriels : aspects juridiques », Table - Ronde organisée par l’UMINATE le 7 novembre 1992.</w:t>
      </w:r>
    </w:p>
    <w:p w:rsidR="005C7DD2" w:rsidRDefault="005C7DD2" w:rsidP="005C7DD2">
      <w:pPr>
        <w:jc w:val="both"/>
      </w:pPr>
    </w:p>
    <w:p w:rsidR="005C7DD2" w:rsidRDefault="005C7DD2" w:rsidP="00714B54">
      <w:pPr>
        <w:pStyle w:val="Paragraphedeliste"/>
        <w:numPr>
          <w:ilvl w:val="0"/>
          <w:numId w:val="17"/>
        </w:numPr>
        <w:jc w:val="both"/>
      </w:pPr>
      <w:r>
        <w:t xml:space="preserve">« Les responsabilités locales dans l’élimination des déchets »,  in « Rencontres Canada Europe environnement et déchets », textes rassemblés par Jean-Philippe </w:t>
      </w:r>
      <w:proofErr w:type="spellStart"/>
      <w:r>
        <w:t>Colson</w:t>
      </w:r>
      <w:proofErr w:type="spellEnd"/>
      <w:r>
        <w:t>, Collection de l’AFEC, 1993, p. 113 à 131.</w:t>
      </w:r>
    </w:p>
    <w:p w:rsidR="005C7DD2" w:rsidRDefault="005C7DD2" w:rsidP="005C7DD2">
      <w:pPr>
        <w:jc w:val="both"/>
      </w:pPr>
    </w:p>
    <w:p w:rsidR="005C7DD2" w:rsidRDefault="005C7DD2" w:rsidP="00714B54">
      <w:pPr>
        <w:pStyle w:val="Paragraphedeliste"/>
        <w:numPr>
          <w:ilvl w:val="0"/>
          <w:numId w:val="17"/>
        </w:numPr>
        <w:jc w:val="both"/>
      </w:pPr>
      <w:r>
        <w:t xml:space="preserve">« La jurisprudence », paru dans l’ouvrage collectif « De la bioéthique au bio-droit », sous la direction de Claire </w:t>
      </w:r>
      <w:proofErr w:type="spellStart"/>
      <w:r>
        <w:t>Neirinck</w:t>
      </w:r>
      <w:proofErr w:type="spellEnd"/>
      <w:r>
        <w:t>, LGDJ, Collection « Droit et société », 1994, p 103 à 114.</w:t>
      </w:r>
    </w:p>
    <w:p w:rsidR="005C7DD2" w:rsidRDefault="005C7DD2" w:rsidP="005C7DD2">
      <w:pPr>
        <w:jc w:val="both"/>
      </w:pPr>
    </w:p>
    <w:p w:rsidR="005C7DD2" w:rsidRDefault="005C7DD2" w:rsidP="00714B54">
      <w:pPr>
        <w:pStyle w:val="Paragraphedeliste"/>
        <w:numPr>
          <w:ilvl w:val="0"/>
          <w:numId w:val="17"/>
        </w:numPr>
        <w:jc w:val="both"/>
      </w:pPr>
      <w:r>
        <w:t xml:space="preserve">« Responsabilité contractuelle et solidaire - Perte d’une chance d’opter pour l’IVG », commentaire sous CA Versailles, 1° Chambre, 1° sous-section, n° 178/93, M. et Mme </w:t>
      </w:r>
      <w:proofErr w:type="spellStart"/>
      <w:r>
        <w:t>Ramtohul</w:t>
      </w:r>
      <w:proofErr w:type="spellEnd"/>
      <w:r>
        <w:t>, Hôpital Américain Paris, Mme Gauthier, C.P.A.M. Hauts de Seine, 8 juillet 1993, Revue juridique d’Ile-de-France, revue trimestrielle des Barreaux, avril-mai-juin 1994, n° 32, p 111 - 135.</w:t>
      </w:r>
    </w:p>
    <w:p w:rsidR="005C7DD2" w:rsidRDefault="005C7DD2" w:rsidP="005C7DD2">
      <w:pPr>
        <w:jc w:val="both"/>
      </w:pPr>
    </w:p>
    <w:p w:rsidR="005C7DD2" w:rsidRDefault="005C7DD2" w:rsidP="00714B54">
      <w:pPr>
        <w:pStyle w:val="Paragraphedeliste"/>
        <w:numPr>
          <w:ilvl w:val="0"/>
          <w:numId w:val="17"/>
        </w:numPr>
        <w:jc w:val="both"/>
      </w:pPr>
      <w:r>
        <w:t>« Hôpital - Responsabilité - Action directe de la victime contre l’assureur du C.H.R. », note sous CA Versailles, 14° chambre, 18 février 1994, Sté d’assurance Groupe Azur, revue trimestrielle des Barreaux, février-avril 1995, n° 36, p 105 - 108.</w:t>
      </w:r>
    </w:p>
    <w:p w:rsidR="005C7DD2" w:rsidRDefault="005C7DD2" w:rsidP="00714B54">
      <w:pPr>
        <w:pStyle w:val="Paragraphedeliste"/>
        <w:numPr>
          <w:ilvl w:val="0"/>
          <w:numId w:val="17"/>
        </w:numPr>
        <w:jc w:val="both"/>
      </w:pPr>
      <w:r>
        <w:t>« Responsabilité médicale - Non - Absence de faute - Evénement imprévisible », note sous CA Versailles, 1° chambre, 1° section, 29 octobre 1992, Mme Allard, revue trimestrielle des Barreaux, février-avril 1995, n° 36, p 109 - 115.</w:t>
      </w:r>
    </w:p>
    <w:p w:rsidR="005C7DD2" w:rsidRDefault="005C7DD2" w:rsidP="005C7DD2">
      <w:pPr>
        <w:jc w:val="both"/>
      </w:pPr>
    </w:p>
    <w:p w:rsidR="005C7DD2" w:rsidRDefault="005C7DD2" w:rsidP="00714B54">
      <w:pPr>
        <w:pStyle w:val="Paragraphedeliste"/>
        <w:numPr>
          <w:ilvl w:val="0"/>
          <w:numId w:val="17"/>
        </w:numPr>
        <w:jc w:val="both"/>
      </w:pPr>
      <w:r>
        <w:t xml:space="preserve">« Laboratoire pharmaceutique - Responsabilité délictuelle - Négligence fautive », note sous CA Versailles, 1° chambre, 1° section, 25 juin 1992, M. et Mme </w:t>
      </w:r>
      <w:proofErr w:type="spellStart"/>
      <w:r>
        <w:t>Thuillier</w:t>
      </w:r>
      <w:proofErr w:type="spellEnd"/>
      <w:r>
        <w:t>, Revue juridique d’Ile-de-France, revue trimestrielle des Barreaux, février-avril 1995, n° 36, p 116 - 131.</w:t>
      </w:r>
    </w:p>
    <w:p w:rsidR="005C7DD2" w:rsidRDefault="005C7DD2" w:rsidP="005C7DD2">
      <w:pPr>
        <w:jc w:val="both"/>
      </w:pPr>
    </w:p>
    <w:p w:rsidR="005C7DD2" w:rsidRDefault="005C7DD2" w:rsidP="00714B54">
      <w:pPr>
        <w:pStyle w:val="Paragraphedeliste"/>
        <w:numPr>
          <w:ilvl w:val="0"/>
          <w:numId w:val="17"/>
        </w:numPr>
        <w:jc w:val="both"/>
      </w:pPr>
      <w:r>
        <w:t xml:space="preserve">« Le stationnement payant sur voirie », Revue Française de la Décentralisation, n° 3, janvier 1996, p 38 à 47. </w:t>
      </w:r>
    </w:p>
    <w:p w:rsidR="005C7DD2" w:rsidRDefault="005C7DD2" w:rsidP="005C7DD2">
      <w:pPr>
        <w:jc w:val="both"/>
      </w:pPr>
    </w:p>
    <w:p w:rsidR="005C7DD2" w:rsidRDefault="005C7DD2" w:rsidP="00714B54">
      <w:pPr>
        <w:pStyle w:val="Paragraphedeliste"/>
        <w:numPr>
          <w:ilvl w:val="0"/>
          <w:numId w:val="17"/>
        </w:numPr>
        <w:jc w:val="both"/>
      </w:pPr>
      <w:r>
        <w:lastRenderedPageBreak/>
        <w:t>« La campagne électorale était-elle porteuse de projets? », à l’occasion de la Table Ronde « Election présidentielle 1995, bilan et perspective », organisée à l’initiative du Centre d’Etudes et de Recherches Constitutionnelles et Politiques, le 16 mai 1996 à l’Université des Sciences Sociales de Toulouse I.</w:t>
      </w:r>
    </w:p>
    <w:p w:rsidR="005C7DD2" w:rsidRDefault="005C7DD2" w:rsidP="005C7DD2">
      <w:pPr>
        <w:jc w:val="both"/>
      </w:pPr>
    </w:p>
    <w:p w:rsidR="005C7DD2" w:rsidRDefault="005C7DD2" w:rsidP="00714B54">
      <w:pPr>
        <w:pStyle w:val="Paragraphedeliste"/>
        <w:numPr>
          <w:ilvl w:val="0"/>
          <w:numId w:val="17"/>
        </w:numPr>
        <w:jc w:val="both"/>
      </w:pPr>
      <w:r>
        <w:t xml:space="preserve">« La responsabilité des établissements publics de santé en cas d’infection nosocomiale », dans le cadre de la Journée des Présidents de CLIN du Sud-Ouest, le 10 novembre 1995, CHU </w:t>
      </w:r>
      <w:proofErr w:type="spellStart"/>
      <w:r>
        <w:t>Purpan</w:t>
      </w:r>
      <w:proofErr w:type="spellEnd"/>
      <w:r>
        <w:t>.</w:t>
      </w:r>
    </w:p>
    <w:p w:rsidR="005C7DD2" w:rsidRDefault="005C7DD2" w:rsidP="005C7DD2">
      <w:pPr>
        <w:jc w:val="both"/>
      </w:pPr>
    </w:p>
    <w:p w:rsidR="005C7DD2" w:rsidRDefault="005C7DD2" w:rsidP="00714B54">
      <w:pPr>
        <w:pStyle w:val="Paragraphedeliste"/>
        <w:numPr>
          <w:ilvl w:val="0"/>
          <w:numId w:val="17"/>
        </w:numPr>
        <w:jc w:val="both"/>
      </w:pPr>
      <w:r>
        <w:t>« Les nouvelles législations dans le domaine agro-alimentaire et économique »,  dans le cadre du cycle « Histoire - Droit - Médecine », semaine info-santé, organisée par le service interuniversitaire de médecine préventive de Toulouse, le 12 mars 1996 à l’Université des Sciences Sociales de Toulouse I.</w:t>
      </w:r>
    </w:p>
    <w:p w:rsidR="005C7DD2" w:rsidRDefault="005C7DD2" w:rsidP="005C7DD2">
      <w:pPr>
        <w:jc w:val="both"/>
      </w:pPr>
    </w:p>
    <w:p w:rsidR="005C7DD2" w:rsidRDefault="005C7DD2" w:rsidP="00714B54">
      <w:pPr>
        <w:pStyle w:val="Paragraphedeliste"/>
        <w:numPr>
          <w:ilvl w:val="0"/>
          <w:numId w:val="17"/>
        </w:numPr>
        <w:jc w:val="both"/>
      </w:pPr>
      <w:r>
        <w:t>« L’utilité publique », publication de l’UMINATE, 1997.</w:t>
      </w:r>
    </w:p>
    <w:p w:rsidR="005C7DD2" w:rsidRDefault="005C7DD2" w:rsidP="005C7DD2">
      <w:pPr>
        <w:jc w:val="both"/>
      </w:pPr>
    </w:p>
    <w:p w:rsidR="005C7DD2" w:rsidRDefault="005C7DD2" w:rsidP="00714B54">
      <w:pPr>
        <w:pStyle w:val="Paragraphedeliste"/>
        <w:numPr>
          <w:ilvl w:val="0"/>
          <w:numId w:val="17"/>
        </w:numPr>
        <w:jc w:val="both"/>
      </w:pPr>
      <w:r>
        <w:t>"La recherche de la sécurité transfusionnelle dans l'organisation institutionnelle de la transfusion sanguine", "L'obligation de sécurité dans les actes médicaux et de soins", Séminaire d'actualité de droit médical, Les Etudes Hospitalières, juin 1998,</w:t>
      </w:r>
    </w:p>
    <w:p w:rsidR="005C7DD2" w:rsidRDefault="005C7DD2" w:rsidP="005C7DD2">
      <w:pPr>
        <w:jc w:val="both"/>
      </w:pPr>
    </w:p>
    <w:p w:rsidR="005C7DD2" w:rsidRDefault="005C7DD2" w:rsidP="00714B54">
      <w:pPr>
        <w:pStyle w:val="Paragraphedeliste"/>
        <w:numPr>
          <w:ilvl w:val="0"/>
          <w:numId w:val="17"/>
        </w:numPr>
        <w:jc w:val="both"/>
      </w:pPr>
      <w:r>
        <w:t>« L’influence du droit communautaire sur l’application de l’ordonnance budgétaire »  dans le cadre d’une table - ronde organisée par l’IREDE pour les quarante ans de l’ordonnance du 2 janvier 1959, le 29 octobre 1999, à l’Université des Sciences Sociales de Toulouse I.</w:t>
      </w:r>
    </w:p>
    <w:p w:rsidR="005C7DD2" w:rsidRDefault="005C7DD2" w:rsidP="005C7DD2">
      <w:pPr>
        <w:jc w:val="both"/>
      </w:pPr>
    </w:p>
    <w:p w:rsidR="005C7DD2" w:rsidRDefault="005C7DD2" w:rsidP="00714B54">
      <w:pPr>
        <w:pStyle w:val="Paragraphedeliste"/>
        <w:numPr>
          <w:ilvl w:val="0"/>
          <w:numId w:val="17"/>
        </w:numPr>
        <w:jc w:val="both"/>
      </w:pPr>
      <w:r>
        <w:t>« La taxe forfaitaire sur les métaux et objets précieux », mise à jour et refonte du fascicule 1235, 1999.</w:t>
      </w:r>
    </w:p>
    <w:p w:rsidR="005C7DD2" w:rsidRDefault="005C7DD2" w:rsidP="005C7DD2">
      <w:pPr>
        <w:jc w:val="both"/>
      </w:pPr>
    </w:p>
    <w:p w:rsidR="005C7DD2" w:rsidRDefault="005C7DD2" w:rsidP="00714B54">
      <w:pPr>
        <w:pStyle w:val="Paragraphedeliste"/>
        <w:numPr>
          <w:ilvl w:val="0"/>
          <w:numId w:val="17"/>
        </w:numPr>
        <w:jc w:val="both"/>
      </w:pPr>
      <w:r>
        <w:t xml:space="preserve">« L’exonération d’impôt sur les bénéfices réalisés par les entreprises implantées dans les zones franches urbaines (C.G.I., art. 44 </w:t>
      </w:r>
      <w:proofErr w:type="spellStart"/>
      <w:r>
        <w:t>octies</w:t>
      </w:r>
      <w:proofErr w:type="spellEnd"/>
      <w:r>
        <w:t xml:space="preserve">) », fascicule 280-C, 2000. </w:t>
      </w:r>
    </w:p>
    <w:p w:rsidR="005C7DD2" w:rsidRDefault="005C7DD2" w:rsidP="005C7DD2">
      <w:pPr>
        <w:jc w:val="both"/>
      </w:pPr>
    </w:p>
    <w:p w:rsidR="005C7DD2" w:rsidRDefault="005C7DD2" w:rsidP="00714B54">
      <w:pPr>
        <w:pStyle w:val="Paragraphedeliste"/>
        <w:numPr>
          <w:ilvl w:val="0"/>
          <w:numId w:val="17"/>
        </w:numPr>
        <w:jc w:val="both"/>
      </w:pPr>
      <w:r>
        <w:t xml:space="preserve">« L’allègement d’impôt sur les bénéfices réalisés par les entreprises implantées en  zone franche Corse (art. 44 </w:t>
      </w:r>
      <w:proofErr w:type="spellStart"/>
      <w:r>
        <w:t>decies</w:t>
      </w:r>
      <w:proofErr w:type="spellEnd"/>
      <w:r>
        <w:t xml:space="preserve"> C.G.I) », fascicule 280-D, 2002. </w:t>
      </w:r>
    </w:p>
    <w:p w:rsidR="005C7DD2" w:rsidRDefault="005C7DD2" w:rsidP="005C7DD2">
      <w:pPr>
        <w:jc w:val="both"/>
      </w:pPr>
    </w:p>
    <w:p w:rsidR="005C7DD2" w:rsidRDefault="005C7DD2" w:rsidP="00714B54">
      <w:pPr>
        <w:pStyle w:val="Paragraphedeliste"/>
        <w:numPr>
          <w:ilvl w:val="0"/>
          <w:numId w:val="17"/>
        </w:numPr>
        <w:jc w:val="both"/>
      </w:pPr>
      <w:r>
        <w:t>« Cession de branche complète d’activité », fascicule 229-55, 2005.</w:t>
      </w:r>
    </w:p>
    <w:p w:rsidR="005C7DD2" w:rsidRDefault="005C7DD2" w:rsidP="005C7DD2">
      <w:pPr>
        <w:jc w:val="both"/>
      </w:pPr>
    </w:p>
    <w:p w:rsidR="005C7DD2" w:rsidRDefault="005C7DD2" w:rsidP="00714B54">
      <w:pPr>
        <w:pStyle w:val="Paragraphedeliste"/>
        <w:numPr>
          <w:ilvl w:val="0"/>
          <w:numId w:val="17"/>
        </w:numPr>
        <w:jc w:val="both"/>
      </w:pPr>
      <w:r>
        <w:t xml:space="preserve">«  Pierre </w:t>
      </w:r>
      <w:proofErr w:type="spellStart"/>
      <w:r>
        <w:t>Lalumière</w:t>
      </w:r>
      <w:proofErr w:type="spellEnd"/>
      <w:r>
        <w:t xml:space="preserve"> et les cadres sociaux de la science  fiscale », Les doctrines fiscales : à la découverte des grands classiques, Bruxelles, </w:t>
      </w:r>
      <w:proofErr w:type="spellStart"/>
      <w:r>
        <w:t>L’Harmattan</w:t>
      </w:r>
      <w:proofErr w:type="spellEnd"/>
      <w:r>
        <w:t>, 2007, p 97 à 163.</w:t>
      </w:r>
    </w:p>
    <w:p w:rsidR="005C7DD2" w:rsidRDefault="005C7DD2" w:rsidP="005C7DD2">
      <w:pPr>
        <w:jc w:val="both"/>
      </w:pPr>
    </w:p>
    <w:p w:rsidR="005C7DD2" w:rsidRDefault="005C7DD2" w:rsidP="00714B54">
      <w:pPr>
        <w:pStyle w:val="Paragraphedeliste"/>
        <w:numPr>
          <w:ilvl w:val="0"/>
          <w:numId w:val="17"/>
        </w:numPr>
        <w:jc w:val="both"/>
      </w:pPr>
      <w:r>
        <w:t>« Quelques réflexions à propos des aides fiscales à l'aménagement du territoire et du principe d'équité. », Etudes en l’honneur de  Gérard TOURNIÉ, P.U.S.S, ETUDES DE L'IRDEIC VI, p 21 à 66.</w:t>
      </w:r>
    </w:p>
    <w:p w:rsidR="00440D94" w:rsidRDefault="00C679E4" w:rsidP="00714B54">
      <w:pPr>
        <w:pStyle w:val="Paragraphedeliste"/>
        <w:numPr>
          <w:ilvl w:val="0"/>
          <w:numId w:val="17"/>
        </w:numPr>
        <w:jc w:val="both"/>
      </w:pPr>
      <w:r w:rsidRPr="00324710">
        <w:t>Communication « Continuité et aménagement du territoire » au colloque de l'IFR des 14 et 15 février 2013 "La (dis</w:t>
      </w:r>
      <w:proofErr w:type="gramStart"/>
      <w:r w:rsidRPr="00324710">
        <w:t>)continuité</w:t>
      </w:r>
      <w:proofErr w:type="gramEnd"/>
      <w:r w:rsidRPr="00324710">
        <w:t xml:space="preserve"> du droit". </w:t>
      </w:r>
    </w:p>
    <w:p w:rsidR="00C679E4" w:rsidRPr="00324710" w:rsidRDefault="00440D94" w:rsidP="00714B54">
      <w:pPr>
        <w:pStyle w:val="Paragraphedeliste"/>
        <w:numPr>
          <w:ilvl w:val="0"/>
          <w:numId w:val="17"/>
        </w:numPr>
      </w:pPr>
      <w:r>
        <w:t>A</w:t>
      </w:r>
      <w:r w:rsidR="00C679E4" w:rsidRPr="00324710">
        <w:t xml:space="preserve">ctes du colloque, </w:t>
      </w:r>
      <w:r>
        <w:t>"La (dis</w:t>
      </w:r>
      <w:proofErr w:type="gramStart"/>
      <w:r>
        <w:t>)continuité</w:t>
      </w:r>
      <w:proofErr w:type="gramEnd"/>
      <w:r>
        <w:t xml:space="preserve"> du droit", </w:t>
      </w:r>
      <w:r w:rsidRPr="00440D94">
        <w:t>« Continuité et aménagement du territoire »</w:t>
      </w:r>
      <w:r>
        <w:t xml:space="preserve"> </w:t>
      </w:r>
      <w:r w:rsidR="00C679E4" w:rsidRPr="00324710">
        <w:t>p. 407 à p. 428.</w:t>
      </w:r>
    </w:p>
    <w:p w:rsidR="00A948FE" w:rsidRDefault="00A948FE" w:rsidP="00714B54">
      <w:pPr>
        <w:pStyle w:val="Paragraphedeliste"/>
        <w:numPr>
          <w:ilvl w:val="0"/>
          <w:numId w:val="17"/>
        </w:numPr>
        <w:jc w:val="both"/>
      </w:pPr>
      <w:r w:rsidRPr="00324710">
        <w:t xml:space="preserve">« Trente ans de décentralisation de l’aménagement du territoire », La décentralisation 30 ans après, LGDJ, </w:t>
      </w:r>
      <w:r w:rsidR="00C679E4" w:rsidRPr="00324710">
        <w:t xml:space="preserve">décembre 2013, </w:t>
      </w:r>
      <w:r w:rsidRPr="00324710">
        <w:t>p. 287 à 306.</w:t>
      </w:r>
    </w:p>
    <w:p w:rsidR="00BE40DF" w:rsidRDefault="00BE40DF" w:rsidP="00714B54">
      <w:pPr>
        <w:pStyle w:val="Paragraphedeliste"/>
        <w:numPr>
          <w:ilvl w:val="0"/>
          <w:numId w:val="17"/>
        </w:numPr>
        <w:jc w:val="both"/>
      </w:pPr>
      <w:r>
        <w:t>« Continuité », Dictionnaire d’administration publique, PUG octobre 2014, p 113.</w:t>
      </w:r>
    </w:p>
    <w:p w:rsidR="00BE40DF" w:rsidRDefault="00BE40DF" w:rsidP="00714B54">
      <w:pPr>
        <w:pStyle w:val="Paragraphedeliste"/>
        <w:numPr>
          <w:ilvl w:val="0"/>
          <w:numId w:val="17"/>
        </w:numPr>
        <w:jc w:val="both"/>
      </w:pPr>
      <w:r>
        <w:t xml:space="preserve"> « Mutualisation », Dictionnaire d’administration publique, PUG octobre 2014, p 337.</w:t>
      </w:r>
    </w:p>
    <w:p w:rsidR="00BE40DF" w:rsidRDefault="00BE40DF" w:rsidP="00714B54">
      <w:pPr>
        <w:pStyle w:val="Paragraphedeliste"/>
        <w:numPr>
          <w:ilvl w:val="0"/>
          <w:numId w:val="17"/>
        </w:numPr>
        <w:jc w:val="both"/>
      </w:pPr>
      <w:r>
        <w:t xml:space="preserve"> « Renouveau du service public », Dictionnaire d’administration publique, PUG octobre 2014, p 430.</w:t>
      </w:r>
    </w:p>
    <w:p w:rsidR="00440D94" w:rsidRDefault="00440D94" w:rsidP="00376DCA">
      <w:pPr>
        <w:pStyle w:val="Paragraphedeliste"/>
        <w:numPr>
          <w:ilvl w:val="0"/>
          <w:numId w:val="17"/>
        </w:numPr>
        <w:jc w:val="both"/>
      </w:pPr>
      <w:r>
        <w:t>Participation au colloque « Femmes de l’objet au sujet : pouvoir politique, discours juridique et égalité professionnelle », communication : « Les femmes et les politiques publiques pour l’emploi :</w:t>
      </w:r>
      <w:r w:rsidR="00376DCA">
        <w:t xml:space="preserve"> un public-cible en devenir ? », </w:t>
      </w:r>
      <w:r w:rsidR="00376DCA" w:rsidRPr="00376DCA">
        <w:t>16 janvier 2015. Université Toulouse 1 Capitole</w:t>
      </w:r>
      <w:r w:rsidR="00376DCA">
        <w:t>.</w:t>
      </w:r>
      <w:bookmarkStart w:id="0" w:name="_GoBack"/>
      <w:bookmarkEnd w:id="0"/>
    </w:p>
    <w:p w:rsidR="00440D94" w:rsidRDefault="00440D94" w:rsidP="00714B54">
      <w:pPr>
        <w:pStyle w:val="Paragraphedeliste"/>
        <w:numPr>
          <w:ilvl w:val="0"/>
          <w:numId w:val="17"/>
        </w:numPr>
        <w:jc w:val="both"/>
      </w:pPr>
      <w:r>
        <w:t xml:space="preserve">Conférence AUF à Port-Vila (Vanuatu) : « Littoral et droit : petite chronique d’une relation complexe », étude et droit français et </w:t>
      </w:r>
      <w:proofErr w:type="spellStart"/>
      <w:r>
        <w:t>vanuatais</w:t>
      </w:r>
      <w:proofErr w:type="spellEnd"/>
      <w:r>
        <w:t>, le 23 avril 2015.</w:t>
      </w:r>
    </w:p>
    <w:p w:rsidR="00440D94" w:rsidRDefault="00440D94" w:rsidP="00440D94">
      <w:pPr>
        <w:ind w:left="360"/>
        <w:jc w:val="both"/>
      </w:pPr>
    </w:p>
    <w:p w:rsidR="00440D94" w:rsidRPr="00BE40DF" w:rsidRDefault="00BE40DF" w:rsidP="00BE40DF">
      <w:pPr>
        <w:ind w:left="360"/>
        <w:jc w:val="center"/>
        <w:rPr>
          <w:b/>
          <w:u w:val="single"/>
        </w:rPr>
      </w:pPr>
      <w:r w:rsidRPr="00BE40DF">
        <w:rPr>
          <w:b/>
          <w:u w:val="single"/>
        </w:rPr>
        <w:t>Missions</w:t>
      </w:r>
    </w:p>
    <w:p w:rsidR="00440D94" w:rsidRDefault="00440D94" w:rsidP="00714B54">
      <w:pPr>
        <w:pStyle w:val="Paragraphedeliste"/>
        <w:numPr>
          <w:ilvl w:val="0"/>
          <w:numId w:val="18"/>
        </w:numPr>
        <w:jc w:val="both"/>
      </w:pPr>
      <w:r>
        <w:t xml:space="preserve">Missions : Vanuatu, cours droit administratif général, antenne de Port-Vila ? MAI 2014 </w:t>
      </w:r>
    </w:p>
    <w:p w:rsidR="00440D94" w:rsidRPr="00324710" w:rsidRDefault="00440D94" w:rsidP="00714B54">
      <w:pPr>
        <w:pStyle w:val="Paragraphedeliste"/>
        <w:numPr>
          <w:ilvl w:val="0"/>
          <w:numId w:val="18"/>
        </w:numPr>
        <w:jc w:val="both"/>
      </w:pPr>
      <w:r>
        <w:t xml:space="preserve">Mission à </w:t>
      </w:r>
      <w:proofErr w:type="spellStart"/>
      <w:r>
        <w:t>HanoÏ</w:t>
      </w:r>
      <w:proofErr w:type="spellEnd"/>
      <w:r>
        <w:t xml:space="preserve">, examens </w:t>
      </w:r>
      <w:r w:rsidRPr="00440D94">
        <w:t xml:space="preserve">Master (M2) Droit public spécialité Droit de la coopération économique et des affaires </w:t>
      </w:r>
      <w:proofErr w:type="gramStart"/>
      <w:r w:rsidRPr="00440D94">
        <w:t>internationales(</w:t>
      </w:r>
      <w:proofErr w:type="gramEnd"/>
      <w:r w:rsidRPr="00440D94">
        <w:t>Hanoi Vietnam)</w:t>
      </w:r>
      <w:r>
        <w:t> ? JUIN 2014 ;</w:t>
      </w:r>
    </w:p>
    <w:p w:rsidR="00440D94" w:rsidRDefault="00440D94" w:rsidP="00714B54">
      <w:pPr>
        <w:pStyle w:val="Paragraphedeliste"/>
        <w:numPr>
          <w:ilvl w:val="0"/>
          <w:numId w:val="18"/>
        </w:numPr>
        <w:jc w:val="both"/>
      </w:pPr>
      <w:r>
        <w:t>Missions : Vanuatu, cours + TD droit administratif général, antenne de Port-Vila, avril 2015.</w:t>
      </w:r>
    </w:p>
    <w:p w:rsidR="00440D94" w:rsidRDefault="00440D94" w:rsidP="00C679E4">
      <w:pPr>
        <w:pStyle w:val="Paragraphedeliste"/>
        <w:jc w:val="both"/>
      </w:pPr>
    </w:p>
    <w:sectPr w:rsidR="00440D94" w:rsidSect="00EF08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A78"/>
    <w:multiLevelType w:val="singleLevel"/>
    <w:tmpl w:val="587864AC"/>
    <w:lvl w:ilvl="0">
      <w:start w:val="1"/>
      <w:numFmt w:val="bullet"/>
      <w:lvlText w:val=""/>
      <w:lvlJc w:val="left"/>
      <w:pPr>
        <w:tabs>
          <w:tab w:val="num" w:pos="360"/>
        </w:tabs>
        <w:ind w:left="360" w:hanging="360"/>
      </w:pPr>
      <w:rPr>
        <w:rFonts w:ascii="Symbol" w:hAnsi="Symbol" w:hint="default"/>
      </w:rPr>
    </w:lvl>
  </w:abstractNum>
  <w:abstractNum w:abstractNumId="1">
    <w:nsid w:val="06145E1C"/>
    <w:multiLevelType w:val="singleLevel"/>
    <w:tmpl w:val="CD80438C"/>
    <w:lvl w:ilvl="0">
      <w:numFmt w:val="bullet"/>
      <w:lvlText w:val="-"/>
      <w:lvlJc w:val="left"/>
      <w:pPr>
        <w:tabs>
          <w:tab w:val="num" w:pos="360"/>
        </w:tabs>
        <w:ind w:left="360" w:hanging="360"/>
      </w:pPr>
      <w:rPr>
        <w:rFonts w:ascii="Times New Roman" w:hAnsi="Times New Roman" w:hint="default"/>
      </w:rPr>
    </w:lvl>
  </w:abstractNum>
  <w:abstractNum w:abstractNumId="2">
    <w:nsid w:val="10997CF0"/>
    <w:multiLevelType w:val="hybridMultilevel"/>
    <w:tmpl w:val="BB0ADD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F3582D"/>
    <w:multiLevelType w:val="hybridMultilevel"/>
    <w:tmpl w:val="DAC41E14"/>
    <w:lvl w:ilvl="0" w:tplc="BA607C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CB05E4"/>
    <w:multiLevelType w:val="hybridMultilevel"/>
    <w:tmpl w:val="58F05C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057653B"/>
    <w:multiLevelType w:val="singleLevel"/>
    <w:tmpl w:val="587864AC"/>
    <w:lvl w:ilvl="0">
      <w:start w:val="1"/>
      <w:numFmt w:val="bullet"/>
      <w:lvlText w:val=""/>
      <w:lvlJc w:val="left"/>
      <w:pPr>
        <w:tabs>
          <w:tab w:val="num" w:pos="360"/>
        </w:tabs>
        <w:ind w:left="360" w:hanging="360"/>
      </w:pPr>
      <w:rPr>
        <w:rFonts w:ascii="Symbol" w:hAnsi="Symbol" w:hint="default"/>
      </w:rPr>
    </w:lvl>
  </w:abstractNum>
  <w:abstractNum w:abstractNumId="6">
    <w:nsid w:val="21C532DC"/>
    <w:multiLevelType w:val="hybridMultilevel"/>
    <w:tmpl w:val="D51077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90B381A"/>
    <w:multiLevelType w:val="singleLevel"/>
    <w:tmpl w:val="F1747FEC"/>
    <w:lvl w:ilvl="0">
      <w:numFmt w:val="bullet"/>
      <w:lvlText w:val="-"/>
      <w:lvlJc w:val="left"/>
      <w:pPr>
        <w:tabs>
          <w:tab w:val="num" w:pos="360"/>
        </w:tabs>
        <w:ind w:left="360" w:hanging="360"/>
      </w:pPr>
      <w:rPr>
        <w:rFonts w:ascii="Times New Roman" w:hAnsi="Times New Roman" w:hint="default"/>
      </w:rPr>
    </w:lvl>
  </w:abstractNum>
  <w:abstractNum w:abstractNumId="8">
    <w:nsid w:val="3CD7562A"/>
    <w:multiLevelType w:val="hybridMultilevel"/>
    <w:tmpl w:val="F110BD88"/>
    <w:lvl w:ilvl="0" w:tplc="BA607C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DA75FCC"/>
    <w:multiLevelType w:val="hybridMultilevel"/>
    <w:tmpl w:val="A080C3C2"/>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0">
    <w:nsid w:val="42032777"/>
    <w:multiLevelType w:val="hybridMultilevel"/>
    <w:tmpl w:val="3674699A"/>
    <w:lvl w:ilvl="0" w:tplc="27F0A3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4B42FB"/>
    <w:multiLevelType w:val="hybridMultilevel"/>
    <w:tmpl w:val="CFE065C6"/>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2">
    <w:nsid w:val="4F815987"/>
    <w:multiLevelType w:val="hybridMultilevel"/>
    <w:tmpl w:val="BB04115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0AE2F14"/>
    <w:multiLevelType w:val="hybridMultilevel"/>
    <w:tmpl w:val="7F2A00C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nsid w:val="6E1D1298"/>
    <w:multiLevelType w:val="hybridMultilevel"/>
    <w:tmpl w:val="FC423A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63C3626"/>
    <w:multiLevelType w:val="hybridMultilevel"/>
    <w:tmpl w:val="9F724EF4"/>
    <w:lvl w:ilvl="0" w:tplc="B1A2276C">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C406F07"/>
    <w:multiLevelType w:val="singleLevel"/>
    <w:tmpl w:val="587864AC"/>
    <w:lvl w:ilvl="0">
      <w:start w:val="1"/>
      <w:numFmt w:val="bullet"/>
      <w:lvlText w:val=""/>
      <w:lvlJc w:val="left"/>
      <w:pPr>
        <w:tabs>
          <w:tab w:val="num" w:pos="360"/>
        </w:tabs>
        <w:ind w:left="360" w:hanging="360"/>
      </w:pPr>
      <w:rPr>
        <w:rFonts w:ascii="Symbol" w:hAnsi="Symbol" w:hint="default"/>
      </w:rPr>
    </w:lvl>
  </w:abstractNum>
  <w:abstractNum w:abstractNumId="17">
    <w:nsid w:val="7EC46F0B"/>
    <w:multiLevelType w:val="hybridMultilevel"/>
    <w:tmpl w:val="C3144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
  </w:num>
  <w:num w:numId="4">
    <w:abstractNumId w:val="0"/>
  </w:num>
  <w:num w:numId="5">
    <w:abstractNumId w:val="5"/>
  </w:num>
  <w:num w:numId="6">
    <w:abstractNumId w:val="11"/>
  </w:num>
  <w:num w:numId="7">
    <w:abstractNumId w:val="9"/>
  </w:num>
  <w:num w:numId="8">
    <w:abstractNumId w:val="13"/>
  </w:num>
  <w:num w:numId="9">
    <w:abstractNumId w:val="14"/>
  </w:num>
  <w:num w:numId="10">
    <w:abstractNumId w:val="8"/>
  </w:num>
  <w:num w:numId="11">
    <w:abstractNumId w:val="4"/>
  </w:num>
  <w:num w:numId="12">
    <w:abstractNumId w:val="15"/>
  </w:num>
  <w:num w:numId="13">
    <w:abstractNumId w:val="2"/>
  </w:num>
  <w:num w:numId="14">
    <w:abstractNumId w:val="6"/>
  </w:num>
  <w:num w:numId="15">
    <w:abstractNumId w:val="10"/>
  </w:num>
  <w:num w:numId="16">
    <w:abstractNumId w:val="3"/>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C30A9"/>
    <w:rsid w:val="00251901"/>
    <w:rsid w:val="00324710"/>
    <w:rsid w:val="00376DCA"/>
    <w:rsid w:val="003B2B0F"/>
    <w:rsid w:val="00440D94"/>
    <w:rsid w:val="004C5559"/>
    <w:rsid w:val="005C7DD2"/>
    <w:rsid w:val="00714B54"/>
    <w:rsid w:val="00997833"/>
    <w:rsid w:val="00A07853"/>
    <w:rsid w:val="00A948FE"/>
    <w:rsid w:val="00AC30A9"/>
    <w:rsid w:val="00BE40DF"/>
    <w:rsid w:val="00C679E4"/>
    <w:rsid w:val="00C842FD"/>
    <w:rsid w:val="00CD108C"/>
    <w:rsid w:val="00D56D4F"/>
    <w:rsid w:val="00E90E86"/>
    <w:rsid w:val="00EF08A4"/>
    <w:rsid w:val="00FB690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0A9"/>
    <w:pPr>
      <w:overflowPunct w:val="0"/>
      <w:autoSpaceDE w:val="0"/>
      <w:adjustRightInd w:val="0"/>
      <w:spacing w:after="0" w:line="240" w:lineRule="auto"/>
      <w:textAlignment w:val="auto"/>
    </w:pPr>
    <w:rPr>
      <w:rFonts w:ascii="Times New Roman" w:eastAsia="Times New Roman" w:hAnsi="Times New Roman"/>
      <w:sz w:val="20"/>
      <w:szCs w:val="20"/>
    </w:rPr>
  </w:style>
  <w:style w:type="paragraph" w:styleId="Titre9">
    <w:name w:val="heading 9"/>
    <w:basedOn w:val="Normal"/>
    <w:next w:val="Normal"/>
    <w:link w:val="Titre9Car"/>
    <w:uiPriority w:val="9"/>
    <w:unhideWhenUsed/>
    <w:qFormat/>
    <w:rsid w:val="0025190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519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51901"/>
    <w:rPr>
      <w:rFonts w:asciiTheme="majorHAnsi" w:eastAsiaTheme="majorEastAsia" w:hAnsiTheme="majorHAnsi" w:cstheme="majorBidi"/>
      <w:color w:val="17365D" w:themeColor="text2" w:themeShade="BF"/>
      <w:spacing w:val="5"/>
      <w:kern w:val="28"/>
      <w:sz w:val="52"/>
      <w:szCs w:val="52"/>
    </w:rPr>
  </w:style>
  <w:style w:type="character" w:customStyle="1" w:styleId="Titre9Car">
    <w:name w:val="Titre 9 Car"/>
    <w:basedOn w:val="Policepardfaut"/>
    <w:link w:val="Titre9"/>
    <w:uiPriority w:val="9"/>
    <w:rsid w:val="00251901"/>
    <w:rPr>
      <w:rFonts w:asciiTheme="majorHAnsi" w:eastAsiaTheme="majorEastAsia" w:hAnsiTheme="majorHAnsi" w:cstheme="majorBidi"/>
      <w:i/>
      <w:iCs/>
      <w:color w:val="404040" w:themeColor="text1" w:themeTint="BF"/>
      <w:sz w:val="20"/>
      <w:szCs w:val="20"/>
    </w:rPr>
  </w:style>
  <w:style w:type="paragraph" w:styleId="Paragraphedeliste">
    <w:name w:val="List Paragraph"/>
    <w:basedOn w:val="Normal"/>
    <w:uiPriority w:val="34"/>
    <w:rsid w:val="00C842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47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1027</Words>
  <Characters>5652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dc:creator>
  <cp:lastModifiedBy>P BELL</cp:lastModifiedBy>
  <cp:revision>5</cp:revision>
  <dcterms:created xsi:type="dcterms:W3CDTF">2015-05-15T19:34:00Z</dcterms:created>
  <dcterms:modified xsi:type="dcterms:W3CDTF">2015-05-15T19:38:00Z</dcterms:modified>
</cp:coreProperties>
</file>