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C267D" w14:textId="77777777" w:rsidR="00D8699A" w:rsidRPr="00212D31" w:rsidRDefault="004B4B05" w:rsidP="00212D31">
      <w:pPr>
        <w:spacing w:after="0" w:line="240" w:lineRule="auto"/>
        <w:jc w:val="center"/>
        <w:rPr>
          <w:rFonts w:ascii="Arial" w:hAnsi="Arial" w:cs="Arial"/>
          <w:b/>
          <w:sz w:val="32"/>
          <w:szCs w:val="32"/>
          <w:lang w:val="fr-BE"/>
        </w:rPr>
      </w:pPr>
      <w:r w:rsidRPr="00212D31">
        <w:rPr>
          <w:rFonts w:ascii="Arial" w:hAnsi="Arial" w:cs="Arial"/>
          <w:b/>
          <w:sz w:val="32"/>
          <w:szCs w:val="32"/>
          <w:lang w:val="fr-BE"/>
        </w:rPr>
        <w:t xml:space="preserve">L’Union européenne en tant que communauté de valeurs – </w:t>
      </w:r>
    </w:p>
    <w:p w14:paraId="13DF1138" w14:textId="428D4C65" w:rsidR="008A1B5D" w:rsidRDefault="004B4B05" w:rsidP="00212D31">
      <w:pPr>
        <w:spacing w:after="0" w:line="240" w:lineRule="auto"/>
        <w:jc w:val="center"/>
        <w:rPr>
          <w:rFonts w:ascii="Arial" w:hAnsi="Arial" w:cs="Arial"/>
          <w:b/>
          <w:sz w:val="32"/>
          <w:szCs w:val="32"/>
          <w:lang w:val="fr-BE"/>
        </w:rPr>
      </w:pPr>
      <w:r w:rsidRPr="00212D31">
        <w:rPr>
          <w:rFonts w:ascii="Arial" w:hAnsi="Arial" w:cs="Arial"/>
          <w:b/>
          <w:sz w:val="32"/>
          <w:szCs w:val="32"/>
          <w:lang w:val="fr-BE"/>
        </w:rPr>
        <w:t>L’exemple de l’</w:t>
      </w:r>
      <w:r w:rsidR="00445641" w:rsidRPr="00212D31">
        <w:rPr>
          <w:rFonts w:ascii="Arial" w:hAnsi="Arial" w:cs="Arial"/>
          <w:b/>
          <w:sz w:val="32"/>
          <w:szCs w:val="32"/>
          <w:lang w:val="fr-BE"/>
        </w:rPr>
        <w:t>É</w:t>
      </w:r>
      <w:r w:rsidRPr="00212D31">
        <w:rPr>
          <w:rFonts w:ascii="Arial" w:hAnsi="Arial" w:cs="Arial"/>
          <w:b/>
          <w:sz w:val="32"/>
          <w:szCs w:val="32"/>
          <w:lang w:val="fr-BE"/>
        </w:rPr>
        <w:t>tat de droit</w:t>
      </w:r>
    </w:p>
    <w:p w14:paraId="300436B8" w14:textId="77777777" w:rsidR="00212D31" w:rsidRDefault="00212D31" w:rsidP="00212D31">
      <w:pPr>
        <w:spacing w:after="0" w:line="240" w:lineRule="auto"/>
        <w:jc w:val="center"/>
        <w:rPr>
          <w:rFonts w:ascii="Arial" w:hAnsi="Arial" w:cs="Arial"/>
          <w:b/>
          <w:sz w:val="32"/>
          <w:szCs w:val="32"/>
          <w:lang w:val="fr-BE"/>
        </w:rPr>
      </w:pPr>
    </w:p>
    <w:p w14:paraId="726A2E7A" w14:textId="0083CB14" w:rsidR="00075706" w:rsidRDefault="00D24B09" w:rsidP="00D24B09">
      <w:pPr>
        <w:spacing w:after="0" w:line="240" w:lineRule="auto"/>
        <w:rPr>
          <w:rFonts w:ascii="Arial" w:hAnsi="Arial" w:cs="Arial"/>
          <w:b/>
          <w:sz w:val="32"/>
          <w:szCs w:val="32"/>
          <w:lang w:val="fr-BE"/>
        </w:rPr>
      </w:pPr>
      <w:r w:rsidRPr="00075706">
        <w:rPr>
          <w:rFonts w:ascii="Arial" w:hAnsi="Arial" w:cs="Arial"/>
          <w:b/>
          <w:color w:val="C00000"/>
          <w:sz w:val="32"/>
          <w:szCs w:val="32"/>
          <w:lang w:val="fr-BE"/>
        </w:rPr>
        <w:t>Discour</w:t>
      </w:r>
      <w:r w:rsidR="00AE4401">
        <w:rPr>
          <w:rFonts w:ascii="Arial" w:hAnsi="Arial" w:cs="Arial"/>
          <w:b/>
          <w:color w:val="C00000"/>
          <w:sz w:val="32"/>
          <w:szCs w:val="32"/>
          <w:lang w:val="fr-BE"/>
        </w:rPr>
        <w:t>s</w:t>
      </w:r>
      <w:r w:rsidRPr="00075706">
        <w:rPr>
          <w:rFonts w:ascii="Arial" w:hAnsi="Arial" w:cs="Arial"/>
          <w:b/>
          <w:color w:val="C00000"/>
          <w:sz w:val="32"/>
          <w:szCs w:val="32"/>
          <w:lang w:val="fr-BE"/>
        </w:rPr>
        <w:t xml:space="preserve"> de</w:t>
      </w:r>
      <w:r w:rsidR="00212D31" w:rsidRPr="00075706">
        <w:rPr>
          <w:rFonts w:ascii="Arial" w:hAnsi="Arial" w:cs="Arial"/>
          <w:b/>
          <w:color w:val="C00000"/>
          <w:sz w:val="32"/>
          <w:szCs w:val="32"/>
          <w:lang w:val="fr-BE"/>
        </w:rPr>
        <w:t xml:space="preserve"> </w:t>
      </w:r>
      <w:proofErr w:type="spellStart"/>
      <w:r w:rsidRPr="00075706">
        <w:rPr>
          <w:rFonts w:ascii="Arial" w:hAnsi="Arial" w:cs="Arial"/>
          <w:b/>
          <w:color w:val="C00000"/>
          <w:sz w:val="32"/>
          <w:szCs w:val="32"/>
          <w:lang w:val="fr-BE"/>
        </w:rPr>
        <w:t>Vassilios</w:t>
      </w:r>
      <w:proofErr w:type="spellEnd"/>
      <w:r w:rsidRPr="00075706">
        <w:rPr>
          <w:rFonts w:ascii="Arial" w:hAnsi="Arial" w:cs="Arial"/>
          <w:b/>
          <w:color w:val="C00000"/>
          <w:sz w:val="32"/>
          <w:szCs w:val="32"/>
          <w:lang w:val="fr-BE"/>
        </w:rPr>
        <w:t xml:space="preserve"> </w:t>
      </w:r>
      <w:proofErr w:type="spellStart"/>
      <w:r w:rsidRPr="00075706">
        <w:rPr>
          <w:rFonts w:ascii="Arial" w:hAnsi="Arial" w:cs="Arial"/>
          <w:b/>
          <w:color w:val="C00000"/>
          <w:sz w:val="32"/>
          <w:szCs w:val="32"/>
          <w:lang w:val="fr-BE"/>
        </w:rPr>
        <w:t>Skouris</w:t>
      </w:r>
      <w:proofErr w:type="spellEnd"/>
      <w:r w:rsidRPr="00075706">
        <w:rPr>
          <w:rFonts w:ascii="Arial" w:hAnsi="Arial" w:cs="Arial"/>
          <w:b/>
          <w:color w:val="C00000"/>
          <w:sz w:val="32"/>
          <w:szCs w:val="32"/>
          <w:lang w:val="fr-BE"/>
        </w:rPr>
        <w:t>,</w:t>
      </w:r>
      <w:r>
        <w:rPr>
          <w:rFonts w:ascii="Arial" w:hAnsi="Arial" w:cs="Arial"/>
          <w:b/>
          <w:sz w:val="32"/>
          <w:szCs w:val="32"/>
          <w:lang w:val="fr-BE"/>
        </w:rPr>
        <w:t xml:space="preserve"> </w:t>
      </w:r>
    </w:p>
    <w:p w14:paraId="2CB3F089" w14:textId="6C88A45E" w:rsidR="00212D31" w:rsidRPr="00D24B09" w:rsidRDefault="00AE4401" w:rsidP="00D24B09">
      <w:pPr>
        <w:spacing w:after="0" w:line="240" w:lineRule="auto"/>
        <w:rPr>
          <w:rFonts w:ascii="Arial" w:hAnsi="Arial" w:cs="Arial"/>
          <w:b/>
          <w:sz w:val="24"/>
          <w:szCs w:val="24"/>
          <w:lang w:val="fr-BE"/>
        </w:rPr>
      </w:pPr>
      <w:r w:rsidRPr="00075706">
        <w:rPr>
          <w:rFonts w:ascii="Arial" w:hAnsi="Arial" w:cs="Arial"/>
          <w:b/>
          <w:sz w:val="24"/>
          <w:szCs w:val="24"/>
          <w:lang w:val="fr-BE"/>
        </w:rPr>
        <w:t>Professeur</w:t>
      </w:r>
      <w:r w:rsidR="00D24B09" w:rsidRPr="00075706">
        <w:rPr>
          <w:rFonts w:ascii="Arial" w:hAnsi="Arial" w:cs="Arial"/>
          <w:b/>
          <w:sz w:val="24"/>
          <w:szCs w:val="24"/>
          <w:lang w:val="fr-BE"/>
        </w:rPr>
        <w:t xml:space="preserve"> de droit et président de la Cour de justice de l’Union européenne, Docteur honoris causa de l’</w:t>
      </w:r>
      <w:r w:rsidRPr="00075706">
        <w:rPr>
          <w:rFonts w:ascii="Arial" w:hAnsi="Arial" w:cs="Arial"/>
          <w:b/>
          <w:sz w:val="24"/>
          <w:szCs w:val="24"/>
          <w:lang w:val="fr-BE"/>
        </w:rPr>
        <w:t>Université</w:t>
      </w:r>
      <w:r w:rsidR="00D24B09" w:rsidRPr="00075706">
        <w:rPr>
          <w:rFonts w:ascii="Arial" w:hAnsi="Arial" w:cs="Arial"/>
          <w:b/>
          <w:sz w:val="24"/>
          <w:szCs w:val="24"/>
          <w:lang w:val="fr-BE"/>
        </w:rPr>
        <w:t xml:space="preserve"> Toulouse Capitole</w:t>
      </w:r>
      <w:r w:rsidR="00D24B09">
        <w:rPr>
          <w:rFonts w:ascii="Arial" w:hAnsi="Arial" w:cs="Arial"/>
          <w:b/>
          <w:sz w:val="32"/>
          <w:szCs w:val="32"/>
          <w:lang w:val="fr-BE"/>
        </w:rPr>
        <w:t xml:space="preserve"> </w:t>
      </w:r>
      <w:bookmarkStart w:id="0" w:name="_GoBack"/>
      <w:bookmarkEnd w:id="0"/>
    </w:p>
    <w:p w14:paraId="6FA43E73" w14:textId="77777777" w:rsidR="001A7A03" w:rsidRPr="00212D31" w:rsidRDefault="001A7A03" w:rsidP="00212D31">
      <w:pPr>
        <w:spacing w:after="0" w:line="240" w:lineRule="auto"/>
        <w:jc w:val="both"/>
        <w:rPr>
          <w:rFonts w:ascii="Arial" w:hAnsi="Arial" w:cs="Arial"/>
          <w:b/>
          <w:sz w:val="24"/>
          <w:szCs w:val="24"/>
          <w:lang w:val="fr-BE"/>
        </w:rPr>
      </w:pPr>
    </w:p>
    <w:p w14:paraId="2914C498" w14:textId="32C11086" w:rsidR="00961066" w:rsidRDefault="002B16FF" w:rsidP="00212D31">
      <w:pPr>
        <w:spacing w:after="0" w:line="240" w:lineRule="auto"/>
        <w:jc w:val="both"/>
        <w:rPr>
          <w:rFonts w:ascii="Arial" w:hAnsi="Arial" w:cs="Arial"/>
          <w:sz w:val="24"/>
          <w:szCs w:val="24"/>
          <w:lang w:val="fr-BE"/>
        </w:rPr>
      </w:pPr>
      <w:r w:rsidRPr="00212D31">
        <w:rPr>
          <w:rFonts w:ascii="Arial" w:hAnsi="Arial" w:cs="Arial"/>
          <w:b/>
          <w:i/>
          <w:color w:val="C00000"/>
          <w:sz w:val="28"/>
          <w:szCs w:val="28"/>
          <w:lang w:val="fr-BE"/>
        </w:rPr>
        <w:t>A</w:t>
      </w:r>
      <w:r w:rsidRPr="00212D31">
        <w:rPr>
          <w:rFonts w:ascii="Arial" w:hAnsi="Arial" w:cs="Arial"/>
          <w:sz w:val="24"/>
          <w:szCs w:val="24"/>
          <w:lang w:val="fr-BE"/>
        </w:rPr>
        <w:t xml:space="preserve">près avoir fait la connaissance de </w:t>
      </w:r>
      <w:r w:rsidR="00D8699A" w:rsidRPr="00212D31">
        <w:rPr>
          <w:rFonts w:ascii="Arial" w:hAnsi="Arial" w:cs="Arial"/>
          <w:sz w:val="24"/>
          <w:szCs w:val="24"/>
          <w:lang w:val="fr-BE"/>
        </w:rPr>
        <w:t xml:space="preserve">votre université il y </w:t>
      </w:r>
      <w:r w:rsidRPr="00212D31">
        <w:rPr>
          <w:rFonts w:ascii="Arial" w:hAnsi="Arial" w:cs="Arial"/>
          <w:sz w:val="24"/>
          <w:szCs w:val="24"/>
          <w:lang w:val="fr-BE"/>
        </w:rPr>
        <w:t xml:space="preserve">a un peu plus de deux ans à l’occasion de la </w:t>
      </w:r>
      <w:r w:rsidR="00961066" w:rsidRPr="00212D31">
        <w:rPr>
          <w:rFonts w:ascii="Arial" w:hAnsi="Arial" w:cs="Arial"/>
          <w:sz w:val="24"/>
          <w:szCs w:val="24"/>
          <w:lang w:val="fr-BE"/>
        </w:rPr>
        <w:t>création du</w:t>
      </w:r>
      <w:r w:rsidRPr="00212D31">
        <w:rPr>
          <w:rFonts w:ascii="Arial" w:hAnsi="Arial" w:cs="Arial"/>
          <w:sz w:val="24"/>
          <w:szCs w:val="24"/>
          <w:lang w:val="fr-BE"/>
        </w:rPr>
        <w:t xml:space="preserve"> Centre d’excellence Jean Monnet, je suis très heureux d’avoir l’occasion de </w:t>
      </w:r>
      <w:r w:rsidR="007A34F4" w:rsidRPr="00212D31">
        <w:rPr>
          <w:rFonts w:ascii="Arial" w:hAnsi="Arial" w:cs="Arial"/>
          <w:sz w:val="24"/>
          <w:szCs w:val="24"/>
          <w:lang w:val="fr-BE"/>
        </w:rPr>
        <w:t>revenir vous faire une visite</w:t>
      </w:r>
      <w:r w:rsidRPr="00212D31">
        <w:rPr>
          <w:rFonts w:ascii="Arial" w:hAnsi="Arial" w:cs="Arial"/>
          <w:sz w:val="24"/>
          <w:szCs w:val="24"/>
          <w:lang w:val="fr-BE"/>
        </w:rPr>
        <w:t xml:space="preserve">. Je suis d’autant plus heureux que vous me faites l’honneur de me décerner </w:t>
      </w:r>
      <w:r w:rsidR="00A40355" w:rsidRPr="00212D31">
        <w:rPr>
          <w:rFonts w:ascii="Arial" w:hAnsi="Arial" w:cs="Arial"/>
          <w:sz w:val="24"/>
          <w:szCs w:val="24"/>
          <w:lang w:val="fr-BE"/>
        </w:rPr>
        <w:t xml:space="preserve">le titre de Docteur Honoris Causa. </w:t>
      </w:r>
      <w:r w:rsidR="00961066" w:rsidRPr="00212D31">
        <w:rPr>
          <w:rFonts w:ascii="Arial" w:hAnsi="Arial" w:cs="Arial"/>
          <w:sz w:val="24"/>
          <w:szCs w:val="24"/>
          <w:lang w:val="fr-BE"/>
        </w:rPr>
        <w:t>Je vous en remercie bien sincèrement et suis conscient que quelque chose de plus me lie désormais à votre université</w:t>
      </w:r>
      <w:r w:rsidR="00583405" w:rsidRPr="00212D31">
        <w:rPr>
          <w:rFonts w:ascii="Arial" w:hAnsi="Arial" w:cs="Arial"/>
          <w:sz w:val="24"/>
          <w:szCs w:val="24"/>
          <w:lang w:val="fr-BE"/>
        </w:rPr>
        <w:t xml:space="preserve"> et en</w:t>
      </w:r>
      <w:r w:rsidR="00961066" w:rsidRPr="00212D31">
        <w:rPr>
          <w:rFonts w:ascii="Arial" w:hAnsi="Arial" w:cs="Arial"/>
          <w:sz w:val="24"/>
          <w:szCs w:val="24"/>
          <w:lang w:val="fr-BE"/>
        </w:rPr>
        <w:t xml:space="preserve"> particulier à sa faculté de droit.</w:t>
      </w:r>
    </w:p>
    <w:p w14:paraId="660BC4A3" w14:textId="77777777" w:rsidR="00212D31" w:rsidRPr="00212D31" w:rsidRDefault="00212D31" w:rsidP="00212D31">
      <w:pPr>
        <w:spacing w:after="0" w:line="240" w:lineRule="auto"/>
        <w:jc w:val="both"/>
        <w:rPr>
          <w:rFonts w:ascii="Arial" w:hAnsi="Arial" w:cs="Arial"/>
          <w:sz w:val="24"/>
          <w:szCs w:val="24"/>
          <w:lang w:val="fr-BE"/>
        </w:rPr>
      </w:pPr>
    </w:p>
    <w:p w14:paraId="19EA7721" w14:textId="39373833" w:rsidR="002F6EC9" w:rsidRDefault="00961066"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 xml:space="preserve">Lorsque vous m’avez annoncé en mai dernier que vous aviez décidé de me décerner ce titre, </w:t>
      </w:r>
      <w:r w:rsidR="00746224" w:rsidRPr="00212D31">
        <w:rPr>
          <w:rFonts w:ascii="Arial" w:hAnsi="Arial" w:cs="Arial"/>
          <w:sz w:val="24"/>
          <w:szCs w:val="24"/>
          <w:lang w:val="fr-BE"/>
        </w:rPr>
        <w:t>j’</w:t>
      </w:r>
      <w:r w:rsidR="006F04BB" w:rsidRPr="00212D31">
        <w:rPr>
          <w:rFonts w:ascii="Arial" w:hAnsi="Arial" w:cs="Arial"/>
          <w:sz w:val="24"/>
          <w:szCs w:val="24"/>
          <w:lang w:val="fr-BE"/>
        </w:rPr>
        <w:t>ai pensé que je vous parlerais aujourd’hui, lors de la cérémonie,</w:t>
      </w:r>
      <w:r w:rsidR="002C4582" w:rsidRPr="00212D31">
        <w:rPr>
          <w:rFonts w:ascii="Arial" w:hAnsi="Arial" w:cs="Arial"/>
          <w:sz w:val="24"/>
          <w:szCs w:val="24"/>
          <w:lang w:val="fr-BE"/>
        </w:rPr>
        <w:t xml:space="preserve"> des valeurs </w:t>
      </w:r>
      <w:r w:rsidR="006F04BB" w:rsidRPr="00212D31">
        <w:rPr>
          <w:rFonts w:ascii="Arial" w:hAnsi="Arial" w:cs="Arial"/>
          <w:sz w:val="24"/>
          <w:szCs w:val="24"/>
          <w:lang w:val="fr-BE"/>
        </w:rPr>
        <w:t xml:space="preserve">communes et </w:t>
      </w:r>
      <w:r w:rsidR="002C4582" w:rsidRPr="00212D31">
        <w:rPr>
          <w:rFonts w:ascii="Arial" w:hAnsi="Arial" w:cs="Arial"/>
          <w:sz w:val="24"/>
          <w:szCs w:val="24"/>
          <w:lang w:val="fr-BE"/>
        </w:rPr>
        <w:t xml:space="preserve">fondamentales </w:t>
      </w:r>
      <w:r w:rsidR="006F04BB" w:rsidRPr="00212D31">
        <w:rPr>
          <w:rFonts w:ascii="Arial" w:hAnsi="Arial" w:cs="Arial"/>
          <w:sz w:val="24"/>
          <w:szCs w:val="24"/>
          <w:lang w:val="fr-BE"/>
        </w:rPr>
        <w:t xml:space="preserve">qui ont présidé à la création et au développement de l’Union européenne. Le sujet peut paraître à certains trop </w:t>
      </w:r>
      <w:r w:rsidR="003E481A" w:rsidRPr="00212D31">
        <w:rPr>
          <w:rFonts w:ascii="Arial" w:hAnsi="Arial" w:cs="Arial"/>
          <w:sz w:val="24"/>
          <w:szCs w:val="24"/>
          <w:lang w:val="fr-BE"/>
        </w:rPr>
        <w:t>ressassé ou trop</w:t>
      </w:r>
      <w:r w:rsidR="006F04BB" w:rsidRPr="00212D31">
        <w:rPr>
          <w:rFonts w:ascii="Arial" w:hAnsi="Arial" w:cs="Arial"/>
          <w:sz w:val="24"/>
          <w:szCs w:val="24"/>
          <w:lang w:val="fr-BE"/>
        </w:rPr>
        <w:t xml:space="preserve"> théorique. </w:t>
      </w:r>
      <w:r w:rsidR="003E481A" w:rsidRPr="00212D31">
        <w:rPr>
          <w:rFonts w:ascii="Arial" w:hAnsi="Arial" w:cs="Arial"/>
          <w:sz w:val="24"/>
          <w:szCs w:val="24"/>
          <w:lang w:val="fr-BE"/>
        </w:rPr>
        <w:t xml:space="preserve">Il me semblait pourtant commandé par l’actualité. L’Europe, qui devait nous apporter la prospérité, est traversée depuis plusieurs années par une crise économique dont l’une des séquelles est la persistance d’un fort taux de chômage. </w:t>
      </w:r>
      <w:r w:rsidR="002C2CB1" w:rsidRPr="00212D31">
        <w:rPr>
          <w:rFonts w:ascii="Arial" w:hAnsi="Arial" w:cs="Arial"/>
          <w:sz w:val="24"/>
          <w:szCs w:val="24"/>
          <w:lang w:val="fr-BE"/>
        </w:rPr>
        <w:t>L’Europe</w:t>
      </w:r>
      <w:r w:rsidR="00F93AB3" w:rsidRPr="00212D31">
        <w:rPr>
          <w:rFonts w:ascii="Arial" w:hAnsi="Arial" w:cs="Arial"/>
          <w:sz w:val="24"/>
          <w:szCs w:val="24"/>
          <w:lang w:val="fr-BE"/>
        </w:rPr>
        <w:t>, qui devait nous apporter la paix, est la cible d’attaques terroristes dont le corollaire est la montée de la xénophobie. J’avais le sentiment – et la crainte – que ces événements n</w:t>
      </w:r>
      <w:r w:rsidR="00717647" w:rsidRPr="00212D31">
        <w:rPr>
          <w:rFonts w:ascii="Arial" w:hAnsi="Arial" w:cs="Arial"/>
          <w:sz w:val="24"/>
          <w:szCs w:val="24"/>
          <w:lang w:val="fr-BE"/>
        </w:rPr>
        <w:t>’amènent nos concitoyens</w:t>
      </w:r>
      <w:r w:rsidR="00F93AB3" w:rsidRPr="00212D31">
        <w:rPr>
          <w:rFonts w:ascii="Arial" w:hAnsi="Arial" w:cs="Arial"/>
          <w:sz w:val="24"/>
          <w:szCs w:val="24"/>
          <w:lang w:val="fr-BE"/>
        </w:rPr>
        <w:t xml:space="preserve"> à considérer l’Union européenne non pas comme la solution, mais comme une partie du problème.</w:t>
      </w:r>
      <w:r w:rsidR="002C2CB1" w:rsidRPr="00212D31">
        <w:rPr>
          <w:rFonts w:ascii="Arial" w:hAnsi="Arial" w:cs="Arial"/>
          <w:sz w:val="24"/>
          <w:szCs w:val="24"/>
          <w:lang w:val="fr-BE"/>
        </w:rPr>
        <w:t xml:space="preserve"> </w:t>
      </w:r>
      <w:r w:rsidR="00F93AB3" w:rsidRPr="00212D31">
        <w:rPr>
          <w:rFonts w:ascii="Arial" w:hAnsi="Arial" w:cs="Arial"/>
          <w:sz w:val="24"/>
          <w:szCs w:val="24"/>
          <w:lang w:val="fr-BE"/>
        </w:rPr>
        <w:t>Je ne me doutais pas que d’autres événements qui surviendraient cet été renforceraient mes craintes et donneraient à mes propos une tout autre acuité. Je veux parler bien sûr de la crise humanitaire causée par l’afflux de personnes</w:t>
      </w:r>
      <w:r w:rsidR="005609B8" w:rsidRPr="00212D31">
        <w:rPr>
          <w:rFonts w:ascii="Arial" w:hAnsi="Arial" w:cs="Arial"/>
          <w:sz w:val="24"/>
          <w:szCs w:val="24"/>
          <w:lang w:val="fr-BE"/>
        </w:rPr>
        <w:t xml:space="preserve"> </w:t>
      </w:r>
      <w:r w:rsidR="00FA114E" w:rsidRPr="00212D31">
        <w:rPr>
          <w:rFonts w:ascii="Arial" w:hAnsi="Arial" w:cs="Arial"/>
          <w:sz w:val="24"/>
          <w:szCs w:val="24"/>
          <w:lang w:val="fr-BE"/>
        </w:rPr>
        <w:t>s’</w:t>
      </w:r>
      <w:r w:rsidR="005609B8" w:rsidRPr="00212D31">
        <w:rPr>
          <w:rFonts w:ascii="Arial" w:hAnsi="Arial" w:cs="Arial"/>
          <w:sz w:val="24"/>
          <w:szCs w:val="24"/>
          <w:lang w:val="fr-BE"/>
        </w:rPr>
        <w:t>échappant de</w:t>
      </w:r>
      <w:r w:rsidR="002C2CB1" w:rsidRPr="00212D31">
        <w:rPr>
          <w:rFonts w:ascii="Arial" w:hAnsi="Arial" w:cs="Arial"/>
          <w:sz w:val="24"/>
          <w:szCs w:val="24"/>
          <w:lang w:val="fr-BE"/>
        </w:rPr>
        <w:t xml:space="preserve"> zones de conflit et qui cherchent refuge auprès de l’Europe</w:t>
      </w:r>
      <w:r w:rsidR="00661A55" w:rsidRPr="00212D31">
        <w:rPr>
          <w:rFonts w:ascii="Arial" w:hAnsi="Arial" w:cs="Arial"/>
          <w:sz w:val="24"/>
          <w:szCs w:val="24"/>
          <w:lang w:val="fr-BE"/>
        </w:rPr>
        <w:t xml:space="preserve">, avec pour conséquence l’apparition de dissensions fondamentales entre les </w:t>
      </w:r>
      <w:r w:rsidR="007422D7" w:rsidRPr="00212D31">
        <w:rPr>
          <w:rFonts w:ascii="Arial" w:hAnsi="Arial" w:cs="Arial"/>
          <w:sz w:val="24"/>
          <w:szCs w:val="24"/>
          <w:lang w:val="fr-BE"/>
        </w:rPr>
        <w:t>É</w:t>
      </w:r>
      <w:r w:rsidR="00661A55" w:rsidRPr="00212D31">
        <w:rPr>
          <w:rFonts w:ascii="Arial" w:hAnsi="Arial" w:cs="Arial"/>
          <w:sz w:val="24"/>
          <w:szCs w:val="24"/>
          <w:lang w:val="fr-BE"/>
        </w:rPr>
        <w:t>tats membres</w:t>
      </w:r>
      <w:r w:rsidR="002C2CB1" w:rsidRPr="00212D31">
        <w:rPr>
          <w:rFonts w:ascii="Arial" w:hAnsi="Arial" w:cs="Arial"/>
          <w:sz w:val="24"/>
          <w:szCs w:val="24"/>
          <w:lang w:val="fr-BE"/>
        </w:rPr>
        <w:t xml:space="preserve">. </w:t>
      </w:r>
    </w:p>
    <w:p w14:paraId="6C839D12" w14:textId="77777777" w:rsidR="00212D31" w:rsidRPr="00212D31" w:rsidRDefault="00212D31" w:rsidP="00212D31">
      <w:pPr>
        <w:spacing w:after="0" w:line="240" w:lineRule="auto"/>
        <w:jc w:val="both"/>
        <w:rPr>
          <w:rFonts w:ascii="Arial" w:hAnsi="Arial" w:cs="Arial"/>
          <w:sz w:val="24"/>
          <w:szCs w:val="24"/>
          <w:lang w:val="fr-BE"/>
        </w:rPr>
      </w:pPr>
    </w:p>
    <w:p w14:paraId="52E8E256" w14:textId="11DBCD3C" w:rsidR="002F6EC9" w:rsidRPr="00212D31" w:rsidRDefault="00661A55"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La question qui se pose est la suivante </w:t>
      </w:r>
      <w:r w:rsidR="0006441B" w:rsidRPr="00212D31">
        <w:rPr>
          <w:rFonts w:ascii="Arial" w:hAnsi="Arial" w:cs="Arial"/>
          <w:sz w:val="24"/>
          <w:szCs w:val="24"/>
          <w:lang w:val="fr-BE"/>
        </w:rPr>
        <w:t xml:space="preserve">: </w:t>
      </w:r>
      <w:r w:rsidR="004546FA" w:rsidRPr="00212D31">
        <w:rPr>
          <w:rFonts w:ascii="Arial" w:hAnsi="Arial" w:cs="Arial"/>
          <w:sz w:val="24"/>
          <w:szCs w:val="24"/>
          <w:lang w:val="fr-BE"/>
        </w:rPr>
        <w:t xml:space="preserve">alors que les perspectives s’assombrissent pour l’Europe, </w:t>
      </w:r>
      <w:r w:rsidR="00F61192" w:rsidRPr="00212D31">
        <w:rPr>
          <w:rFonts w:ascii="Arial" w:hAnsi="Arial" w:cs="Arial"/>
          <w:sz w:val="24"/>
          <w:szCs w:val="24"/>
          <w:lang w:val="fr-BE"/>
        </w:rPr>
        <w:t>est-ce que cela vaut</w:t>
      </w:r>
      <w:r w:rsidR="00747408" w:rsidRPr="00212D31">
        <w:rPr>
          <w:rFonts w:ascii="Arial" w:hAnsi="Arial" w:cs="Arial"/>
          <w:sz w:val="24"/>
          <w:szCs w:val="24"/>
          <w:lang w:val="fr-BE"/>
        </w:rPr>
        <w:t xml:space="preserve"> la peine</w:t>
      </w:r>
      <w:r w:rsidR="000A66FD" w:rsidRPr="00212D31">
        <w:rPr>
          <w:rFonts w:ascii="Arial" w:hAnsi="Arial" w:cs="Arial"/>
          <w:sz w:val="24"/>
          <w:szCs w:val="24"/>
          <w:lang w:val="fr-BE"/>
        </w:rPr>
        <w:t xml:space="preserve"> de maintenir et même de renforcer cette organisation supranationale unique qu’est l’Union européenne ?</w:t>
      </w:r>
      <w:r w:rsidR="002F6EC9" w:rsidRPr="00212D31">
        <w:rPr>
          <w:rFonts w:ascii="Arial" w:hAnsi="Arial" w:cs="Arial"/>
          <w:sz w:val="24"/>
          <w:szCs w:val="24"/>
          <w:lang w:val="fr-BE"/>
        </w:rPr>
        <w:t xml:space="preserve"> </w:t>
      </w:r>
      <w:r w:rsidR="00861E49" w:rsidRPr="00212D31">
        <w:rPr>
          <w:rFonts w:ascii="Arial" w:hAnsi="Arial" w:cs="Arial"/>
          <w:sz w:val="24"/>
          <w:szCs w:val="24"/>
          <w:lang w:val="fr-BE"/>
        </w:rPr>
        <w:t>Répondre à cette question requiert</w:t>
      </w:r>
      <w:r w:rsidR="005609B8" w:rsidRPr="00212D31">
        <w:rPr>
          <w:rFonts w:ascii="Arial" w:hAnsi="Arial" w:cs="Arial"/>
          <w:sz w:val="24"/>
          <w:szCs w:val="24"/>
          <w:lang w:val="fr-BE"/>
        </w:rPr>
        <w:t>,</w:t>
      </w:r>
      <w:r w:rsidR="00861E49" w:rsidRPr="00212D31">
        <w:rPr>
          <w:rFonts w:ascii="Arial" w:hAnsi="Arial" w:cs="Arial"/>
          <w:sz w:val="24"/>
          <w:szCs w:val="24"/>
          <w:lang w:val="fr-BE"/>
        </w:rPr>
        <w:t xml:space="preserve"> à son tour</w:t>
      </w:r>
      <w:r w:rsidR="008F2D18" w:rsidRPr="00212D31">
        <w:rPr>
          <w:rFonts w:ascii="Arial" w:hAnsi="Arial" w:cs="Arial"/>
          <w:sz w:val="24"/>
          <w:szCs w:val="24"/>
          <w:lang w:val="fr-BE"/>
        </w:rPr>
        <w:t>,</w:t>
      </w:r>
      <w:r w:rsidR="00861E49" w:rsidRPr="00212D31">
        <w:rPr>
          <w:rFonts w:ascii="Arial" w:hAnsi="Arial" w:cs="Arial"/>
          <w:sz w:val="24"/>
          <w:szCs w:val="24"/>
          <w:lang w:val="fr-BE"/>
        </w:rPr>
        <w:t xml:space="preserve"> d’examiner si les problèmes rencontrés actuellement peuvent être mieux résolus </w:t>
      </w:r>
      <w:r w:rsidR="008354A2" w:rsidRPr="00212D31">
        <w:rPr>
          <w:rFonts w:ascii="Arial" w:hAnsi="Arial" w:cs="Arial"/>
          <w:sz w:val="24"/>
          <w:szCs w:val="24"/>
          <w:lang w:val="fr-BE"/>
        </w:rPr>
        <w:t xml:space="preserve">en commun </w:t>
      </w:r>
      <w:r w:rsidR="00861E49" w:rsidRPr="00212D31">
        <w:rPr>
          <w:rFonts w:ascii="Arial" w:hAnsi="Arial" w:cs="Arial"/>
          <w:sz w:val="24"/>
          <w:szCs w:val="24"/>
          <w:lang w:val="fr-BE"/>
        </w:rPr>
        <w:t xml:space="preserve">au sein de l’Union </w:t>
      </w:r>
      <w:r w:rsidR="007302B0" w:rsidRPr="00212D31">
        <w:rPr>
          <w:rFonts w:ascii="Arial" w:hAnsi="Arial" w:cs="Arial"/>
          <w:sz w:val="24"/>
          <w:szCs w:val="24"/>
          <w:lang w:val="fr-BE"/>
        </w:rPr>
        <w:t>que séparément, parce que</w:t>
      </w:r>
      <w:r w:rsidR="00861E49" w:rsidRPr="00212D31">
        <w:rPr>
          <w:rFonts w:ascii="Arial" w:hAnsi="Arial" w:cs="Arial"/>
          <w:sz w:val="24"/>
          <w:szCs w:val="24"/>
          <w:lang w:val="fr-BE"/>
        </w:rPr>
        <w:t xml:space="preserve"> </w:t>
      </w:r>
      <w:r w:rsidR="008354A2" w:rsidRPr="00212D31">
        <w:rPr>
          <w:rFonts w:ascii="Arial" w:hAnsi="Arial" w:cs="Arial"/>
          <w:sz w:val="24"/>
          <w:szCs w:val="24"/>
          <w:lang w:val="fr-BE"/>
        </w:rPr>
        <w:t xml:space="preserve">les </w:t>
      </w:r>
      <w:r w:rsidR="00B005EF" w:rsidRPr="00212D31">
        <w:rPr>
          <w:rFonts w:ascii="Arial" w:hAnsi="Arial" w:cs="Arial"/>
          <w:sz w:val="24"/>
          <w:szCs w:val="24"/>
          <w:lang w:val="fr-BE"/>
        </w:rPr>
        <w:t>É</w:t>
      </w:r>
      <w:r w:rsidR="008354A2" w:rsidRPr="00212D31">
        <w:rPr>
          <w:rFonts w:ascii="Arial" w:hAnsi="Arial" w:cs="Arial"/>
          <w:sz w:val="24"/>
          <w:szCs w:val="24"/>
          <w:lang w:val="fr-BE"/>
        </w:rPr>
        <w:t xml:space="preserve">tats membres partagent des valeurs </w:t>
      </w:r>
      <w:r w:rsidR="007302B0" w:rsidRPr="00212D31">
        <w:rPr>
          <w:rFonts w:ascii="Arial" w:hAnsi="Arial" w:cs="Arial"/>
          <w:sz w:val="24"/>
          <w:szCs w:val="24"/>
          <w:lang w:val="fr-BE"/>
        </w:rPr>
        <w:t xml:space="preserve">qui sont nées et se sont </w:t>
      </w:r>
      <w:r w:rsidR="00DE0758" w:rsidRPr="00212D31">
        <w:rPr>
          <w:rFonts w:ascii="Arial" w:hAnsi="Arial" w:cs="Arial"/>
          <w:sz w:val="24"/>
          <w:szCs w:val="24"/>
          <w:lang w:val="fr-BE"/>
        </w:rPr>
        <w:t xml:space="preserve">progressivement </w:t>
      </w:r>
      <w:r w:rsidR="007302B0" w:rsidRPr="00212D31">
        <w:rPr>
          <w:rFonts w:ascii="Arial" w:hAnsi="Arial" w:cs="Arial"/>
          <w:sz w:val="24"/>
          <w:szCs w:val="24"/>
          <w:lang w:val="fr-BE"/>
        </w:rPr>
        <w:t>imposées sur tout le continent</w:t>
      </w:r>
      <w:r w:rsidR="00F61192" w:rsidRPr="00212D31">
        <w:rPr>
          <w:rFonts w:ascii="Arial" w:hAnsi="Arial" w:cs="Arial"/>
          <w:sz w:val="24"/>
          <w:szCs w:val="24"/>
          <w:lang w:val="fr-BE"/>
        </w:rPr>
        <w:t> ; p</w:t>
      </w:r>
      <w:r w:rsidR="00DE0758" w:rsidRPr="00212D31">
        <w:rPr>
          <w:rFonts w:ascii="Arial" w:hAnsi="Arial" w:cs="Arial"/>
          <w:sz w:val="24"/>
          <w:szCs w:val="24"/>
          <w:lang w:val="fr-BE"/>
        </w:rPr>
        <w:t xml:space="preserve">arce que ces valeurs ont accompagné la construction européenne et caractérisent l’idée européenne elle-même. </w:t>
      </w:r>
      <w:r w:rsidR="00DE0197" w:rsidRPr="00212D31">
        <w:rPr>
          <w:rFonts w:ascii="Arial" w:hAnsi="Arial" w:cs="Arial"/>
          <w:sz w:val="24"/>
          <w:szCs w:val="24"/>
          <w:lang w:val="fr-BE"/>
        </w:rPr>
        <w:t>Les propos qu</w:t>
      </w:r>
      <w:r w:rsidR="00DE0758" w:rsidRPr="00212D31">
        <w:rPr>
          <w:rFonts w:ascii="Arial" w:hAnsi="Arial" w:cs="Arial"/>
          <w:sz w:val="24"/>
          <w:szCs w:val="24"/>
          <w:lang w:val="fr-BE"/>
        </w:rPr>
        <w:t>e je vais tenir</w:t>
      </w:r>
      <w:r w:rsidR="00DE0197" w:rsidRPr="00212D31">
        <w:rPr>
          <w:rFonts w:ascii="Arial" w:hAnsi="Arial" w:cs="Arial"/>
          <w:sz w:val="24"/>
          <w:szCs w:val="24"/>
          <w:lang w:val="fr-BE"/>
        </w:rPr>
        <w:t xml:space="preserve"> se veulent un plaidoyer pour </w:t>
      </w:r>
      <w:r w:rsidR="007302B0" w:rsidRPr="00212D31">
        <w:rPr>
          <w:rFonts w:ascii="Arial" w:hAnsi="Arial" w:cs="Arial"/>
          <w:sz w:val="24"/>
          <w:szCs w:val="24"/>
          <w:lang w:val="fr-BE"/>
        </w:rPr>
        <w:t>la préservation et la défense</w:t>
      </w:r>
      <w:r w:rsidR="008063AF" w:rsidRPr="00212D31">
        <w:rPr>
          <w:rFonts w:ascii="Arial" w:hAnsi="Arial" w:cs="Arial"/>
          <w:sz w:val="24"/>
          <w:szCs w:val="24"/>
          <w:lang w:val="fr-BE"/>
        </w:rPr>
        <w:t xml:space="preserve"> de </w:t>
      </w:r>
      <w:r w:rsidR="00DE0197" w:rsidRPr="00212D31">
        <w:rPr>
          <w:rFonts w:ascii="Arial" w:hAnsi="Arial" w:cs="Arial"/>
          <w:sz w:val="24"/>
          <w:szCs w:val="24"/>
          <w:lang w:val="fr-BE"/>
        </w:rPr>
        <w:t xml:space="preserve">ces valeurs communes, </w:t>
      </w:r>
      <w:r w:rsidR="00DE0758" w:rsidRPr="00212D31">
        <w:rPr>
          <w:rFonts w:ascii="Arial" w:hAnsi="Arial" w:cs="Arial"/>
          <w:sz w:val="24"/>
          <w:szCs w:val="24"/>
          <w:lang w:val="fr-BE"/>
        </w:rPr>
        <w:t xml:space="preserve">parmi lesquelles je m’attacherai </w:t>
      </w:r>
      <w:r w:rsidR="00717647" w:rsidRPr="00212D31">
        <w:rPr>
          <w:rFonts w:ascii="Arial" w:hAnsi="Arial" w:cs="Arial"/>
          <w:sz w:val="24"/>
          <w:szCs w:val="24"/>
          <w:lang w:val="fr-BE"/>
        </w:rPr>
        <w:t>plus particulièrement au</w:t>
      </w:r>
      <w:r w:rsidR="00DE0197" w:rsidRPr="00212D31">
        <w:rPr>
          <w:rFonts w:ascii="Arial" w:hAnsi="Arial" w:cs="Arial"/>
          <w:sz w:val="24"/>
          <w:szCs w:val="24"/>
          <w:lang w:val="fr-BE"/>
        </w:rPr>
        <w:t xml:space="preserve"> principe</w:t>
      </w:r>
      <w:r w:rsidR="0056356A" w:rsidRPr="00212D31">
        <w:rPr>
          <w:rFonts w:ascii="Arial" w:hAnsi="Arial" w:cs="Arial"/>
          <w:sz w:val="24"/>
          <w:szCs w:val="24"/>
          <w:lang w:val="fr-BE"/>
        </w:rPr>
        <w:t xml:space="preserve"> de l’</w:t>
      </w:r>
      <w:r w:rsidR="00B005EF" w:rsidRPr="00212D31">
        <w:rPr>
          <w:rFonts w:ascii="Arial" w:hAnsi="Arial" w:cs="Arial"/>
          <w:sz w:val="24"/>
          <w:szCs w:val="24"/>
          <w:lang w:val="fr-BE"/>
        </w:rPr>
        <w:t>É</w:t>
      </w:r>
      <w:r w:rsidR="0056356A" w:rsidRPr="00212D31">
        <w:rPr>
          <w:rFonts w:ascii="Arial" w:hAnsi="Arial" w:cs="Arial"/>
          <w:sz w:val="24"/>
          <w:szCs w:val="24"/>
          <w:lang w:val="fr-BE"/>
        </w:rPr>
        <w:t>tat de droit</w:t>
      </w:r>
      <w:r w:rsidR="002F6EC9" w:rsidRPr="00212D31">
        <w:rPr>
          <w:rFonts w:ascii="Arial" w:hAnsi="Arial" w:cs="Arial"/>
          <w:sz w:val="24"/>
          <w:szCs w:val="24"/>
          <w:lang w:val="fr-BE"/>
        </w:rPr>
        <w:t>.</w:t>
      </w:r>
    </w:p>
    <w:p w14:paraId="12B2FDAA" w14:textId="77777777" w:rsidR="00FB01C2" w:rsidRPr="00212D31" w:rsidRDefault="00FB01C2" w:rsidP="00212D31">
      <w:pPr>
        <w:spacing w:after="0" w:line="240" w:lineRule="auto"/>
        <w:jc w:val="both"/>
        <w:rPr>
          <w:rFonts w:ascii="Arial" w:hAnsi="Arial" w:cs="Arial"/>
          <w:sz w:val="24"/>
          <w:szCs w:val="24"/>
          <w:lang w:val="fr-BE"/>
        </w:rPr>
      </w:pPr>
    </w:p>
    <w:p w14:paraId="4B3FE3AB" w14:textId="77777777" w:rsidR="00565CE8" w:rsidRPr="00212D31" w:rsidRDefault="00565CE8" w:rsidP="00212D31">
      <w:pPr>
        <w:spacing w:after="0" w:line="240" w:lineRule="auto"/>
        <w:jc w:val="both"/>
        <w:rPr>
          <w:rFonts w:ascii="Arial" w:hAnsi="Arial" w:cs="Arial"/>
          <w:b/>
          <w:color w:val="C00000"/>
          <w:sz w:val="28"/>
          <w:szCs w:val="28"/>
          <w:lang w:val="fr-BE"/>
        </w:rPr>
      </w:pPr>
      <w:r w:rsidRPr="00212D31">
        <w:rPr>
          <w:rFonts w:ascii="Arial" w:hAnsi="Arial" w:cs="Arial"/>
          <w:b/>
          <w:color w:val="C00000"/>
          <w:sz w:val="28"/>
          <w:szCs w:val="28"/>
          <w:lang w:val="fr-BE"/>
        </w:rPr>
        <w:t xml:space="preserve">I. </w:t>
      </w:r>
      <w:r w:rsidR="008063AF" w:rsidRPr="00212D31">
        <w:rPr>
          <w:rFonts w:ascii="Arial" w:hAnsi="Arial" w:cs="Arial"/>
          <w:b/>
          <w:color w:val="C00000"/>
          <w:sz w:val="28"/>
          <w:szCs w:val="28"/>
          <w:lang w:val="fr-BE"/>
        </w:rPr>
        <w:t>Introduction</w:t>
      </w:r>
    </w:p>
    <w:p w14:paraId="1AC1CEEF" w14:textId="77777777" w:rsidR="00212D31" w:rsidRDefault="00212D31" w:rsidP="00212D31">
      <w:pPr>
        <w:spacing w:after="0" w:line="240" w:lineRule="auto"/>
        <w:jc w:val="both"/>
        <w:rPr>
          <w:rFonts w:ascii="Arial" w:hAnsi="Arial" w:cs="Arial"/>
          <w:sz w:val="24"/>
          <w:szCs w:val="24"/>
          <w:lang w:val="fr-BE"/>
        </w:rPr>
      </w:pPr>
    </w:p>
    <w:p w14:paraId="6D0DFC92" w14:textId="7615B7EF" w:rsidR="002368F3" w:rsidRDefault="00F66E47" w:rsidP="00212D31">
      <w:pPr>
        <w:spacing w:after="0" w:line="240" w:lineRule="auto"/>
        <w:jc w:val="both"/>
        <w:rPr>
          <w:rFonts w:ascii="Arial" w:hAnsi="Arial" w:cs="Arial"/>
          <w:sz w:val="24"/>
          <w:szCs w:val="24"/>
          <w:lang w:val="fr-BE"/>
        </w:rPr>
      </w:pPr>
      <w:r w:rsidRPr="00212D31">
        <w:rPr>
          <w:rFonts w:ascii="Arial" w:hAnsi="Arial" w:cs="Arial"/>
          <w:b/>
          <w:i/>
          <w:color w:val="C00000"/>
          <w:sz w:val="28"/>
          <w:szCs w:val="28"/>
          <w:lang w:val="fr-BE"/>
        </w:rPr>
        <w:t>D</w:t>
      </w:r>
      <w:r w:rsidRPr="00212D31">
        <w:rPr>
          <w:rFonts w:ascii="Arial" w:hAnsi="Arial" w:cs="Arial"/>
          <w:sz w:val="24"/>
          <w:szCs w:val="24"/>
          <w:lang w:val="fr-BE"/>
        </w:rPr>
        <w:t xml:space="preserve">ans le préambule du Traité sur l’Union européenne tel que résultant du Traité de Lisbonne, les </w:t>
      </w:r>
      <w:r w:rsidR="00C86680" w:rsidRPr="00212D31">
        <w:rPr>
          <w:rFonts w:ascii="Arial" w:hAnsi="Arial" w:cs="Arial"/>
          <w:sz w:val="24"/>
          <w:szCs w:val="24"/>
          <w:lang w:val="fr-BE"/>
        </w:rPr>
        <w:t>É</w:t>
      </w:r>
      <w:r w:rsidRPr="00212D31">
        <w:rPr>
          <w:rFonts w:ascii="Arial" w:hAnsi="Arial" w:cs="Arial"/>
          <w:sz w:val="24"/>
          <w:szCs w:val="24"/>
          <w:lang w:val="fr-BE"/>
        </w:rPr>
        <w:t>tats membres déclarent, d’une part, qu’ils s’inspirent „</w:t>
      </w:r>
      <w:r w:rsidRPr="00212D31">
        <w:rPr>
          <w:rFonts w:ascii="Arial" w:hAnsi="Arial" w:cs="Arial"/>
          <w:i/>
          <w:sz w:val="24"/>
          <w:szCs w:val="24"/>
          <w:lang w:val="fr-BE"/>
        </w:rPr>
        <w:t xml:space="preserve">des héritages culturels, religieux et humanistes de l’Europe, à partir desquels se sont développées les valeurs universelles que constituent les droits inviolables et inaliénables de la </w:t>
      </w:r>
      <w:r w:rsidRPr="00212D31">
        <w:rPr>
          <w:rFonts w:ascii="Arial" w:hAnsi="Arial" w:cs="Arial"/>
          <w:i/>
          <w:sz w:val="24"/>
          <w:szCs w:val="24"/>
          <w:lang w:val="fr-BE"/>
        </w:rPr>
        <w:lastRenderedPageBreak/>
        <w:t>personne humaine, ainsi que la liberté, la démocratie, l’égalité et l’</w:t>
      </w:r>
      <w:r w:rsidR="00C86680" w:rsidRPr="00212D31">
        <w:rPr>
          <w:rFonts w:ascii="Arial" w:hAnsi="Arial" w:cs="Arial"/>
          <w:i/>
          <w:sz w:val="24"/>
          <w:szCs w:val="24"/>
          <w:lang w:val="fr-BE"/>
        </w:rPr>
        <w:t>É</w:t>
      </w:r>
      <w:r w:rsidRPr="00212D31">
        <w:rPr>
          <w:rFonts w:ascii="Arial" w:hAnsi="Arial" w:cs="Arial"/>
          <w:i/>
          <w:sz w:val="24"/>
          <w:szCs w:val="24"/>
          <w:lang w:val="fr-BE"/>
        </w:rPr>
        <w:t>tat de droit</w:t>
      </w:r>
      <w:r w:rsidRPr="00212D31">
        <w:rPr>
          <w:rFonts w:ascii="Arial" w:hAnsi="Arial" w:cs="Arial"/>
          <w:sz w:val="24"/>
          <w:szCs w:val="24"/>
          <w:lang w:val="fr-BE"/>
        </w:rPr>
        <w:t>“ et qu’ils ont, d’autre part, décidé d’instituer une Union européenne „</w:t>
      </w:r>
      <w:r w:rsidRPr="00212D31">
        <w:rPr>
          <w:rFonts w:ascii="Arial" w:hAnsi="Arial" w:cs="Arial"/>
          <w:i/>
          <w:sz w:val="24"/>
          <w:szCs w:val="24"/>
          <w:lang w:val="fr-BE"/>
        </w:rPr>
        <w:t>confirmant leur attachement aux principes de la liberté, de la démocratie et du respect des droits de l’homme et des libertés fondamentales et de l’</w:t>
      </w:r>
      <w:r w:rsidR="00C86680" w:rsidRPr="00212D31">
        <w:rPr>
          <w:rFonts w:ascii="Arial" w:hAnsi="Arial" w:cs="Arial"/>
          <w:i/>
          <w:sz w:val="24"/>
          <w:szCs w:val="24"/>
          <w:lang w:val="fr-BE"/>
        </w:rPr>
        <w:t>É</w:t>
      </w:r>
      <w:r w:rsidRPr="00212D31">
        <w:rPr>
          <w:rFonts w:ascii="Arial" w:hAnsi="Arial" w:cs="Arial"/>
          <w:i/>
          <w:sz w:val="24"/>
          <w:szCs w:val="24"/>
          <w:lang w:val="fr-BE"/>
        </w:rPr>
        <w:t>tat de droit</w:t>
      </w:r>
      <w:r w:rsidRPr="00212D31">
        <w:rPr>
          <w:rFonts w:ascii="Arial" w:hAnsi="Arial" w:cs="Arial"/>
          <w:sz w:val="24"/>
          <w:szCs w:val="24"/>
          <w:lang w:val="fr-BE"/>
        </w:rPr>
        <w:t>“</w:t>
      </w:r>
      <w:r w:rsidR="004A5B5F" w:rsidRPr="00212D31">
        <w:rPr>
          <w:rStyle w:val="Appelnotedebasdep"/>
          <w:rFonts w:ascii="Arial" w:hAnsi="Arial" w:cs="Arial"/>
          <w:sz w:val="24"/>
          <w:szCs w:val="24"/>
          <w:lang w:val="fr-BE"/>
        </w:rPr>
        <w:footnoteReference w:id="1"/>
      </w:r>
      <w:r w:rsidR="00D75DEC" w:rsidRPr="00212D31">
        <w:rPr>
          <w:rFonts w:ascii="Arial" w:hAnsi="Arial" w:cs="Arial"/>
          <w:sz w:val="24"/>
          <w:szCs w:val="24"/>
          <w:lang w:val="fr-BE"/>
        </w:rPr>
        <w:t xml:space="preserve">. </w:t>
      </w:r>
      <w:r w:rsidRPr="00212D31">
        <w:rPr>
          <w:rFonts w:ascii="Arial" w:hAnsi="Arial" w:cs="Arial"/>
          <w:sz w:val="24"/>
          <w:szCs w:val="24"/>
          <w:lang w:val="fr-BE"/>
        </w:rPr>
        <w:t xml:space="preserve">Ces engagements ne </w:t>
      </w:r>
      <w:r w:rsidR="008459E8" w:rsidRPr="00212D31">
        <w:rPr>
          <w:rFonts w:ascii="Arial" w:hAnsi="Arial" w:cs="Arial"/>
          <w:sz w:val="24"/>
          <w:szCs w:val="24"/>
          <w:lang w:val="fr-BE"/>
        </w:rPr>
        <w:t>sont pas présentés isolément</w:t>
      </w:r>
      <w:r w:rsidR="00717647" w:rsidRPr="00212D31">
        <w:rPr>
          <w:rFonts w:ascii="Arial" w:hAnsi="Arial" w:cs="Arial"/>
          <w:sz w:val="24"/>
          <w:szCs w:val="24"/>
          <w:lang w:val="fr-BE"/>
        </w:rPr>
        <w:t>,</w:t>
      </w:r>
      <w:r w:rsidR="008459E8" w:rsidRPr="00212D31">
        <w:rPr>
          <w:rFonts w:ascii="Arial" w:hAnsi="Arial" w:cs="Arial"/>
          <w:sz w:val="24"/>
          <w:szCs w:val="24"/>
          <w:lang w:val="fr-BE"/>
        </w:rPr>
        <w:t xml:space="preserve"> mais intégrés parmi d’autres</w:t>
      </w:r>
      <w:r w:rsidR="00717647" w:rsidRPr="00212D31">
        <w:rPr>
          <w:rFonts w:ascii="Arial" w:hAnsi="Arial" w:cs="Arial"/>
          <w:sz w:val="24"/>
          <w:szCs w:val="24"/>
          <w:lang w:val="fr-BE"/>
        </w:rPr>
        <w:t>,</w:t>
      </w:r>
      <w:r w:rsidR="008459E8" w:rsidRPr="00212D31">
        <w:rPr>
          <w:rFonts w:ascii="Arial" w:hAnsi="Arial" w:cs="Arial"/>
          <w:sz w:val="24"/>
          <w:szCs w:val="24"/>
          <w:lang w:val="fr-BE"/>
        </w:rPr>
        <w:t xml:space="preserve"> </w:t>
      </w:r>
      <w:r w:rsidR="00717647" w:rsidRPr="00212D31">
        <w:rPr>
          <w:rFonts w:ascii="Arial" w:hAnsi="Arial" w:cs="Arial"/>
          <w:sz w:val="24"/>
          <w:szCs w:val="24"/>
          <w:lang w:val="fr-BE"/>
        </w:rPr>
        <w:t>dans</w:t>
      </w:r>
      <w:r w:rsidR="008459E8" w:rsidRPr="00212D31">
        <w:rPr>
          <w:rFonts w:ascii="Arial" w:hAnsi="Arial" w:cs="Arial"/>
          <w:sz w:val="24"/>
          <w:szCs w:val="24"/>
          <w:lang w:val="fr-BE"/>
        </w:rPr>
        <w:t xml:space="preserve"> un catalogue de principes</w:t>
      </w:r>
      <w:r w:rsidR="007302B0" w:rsidRPr="00212D31">
        <w:rPr>
          <w:rFonts w:ascii="Arial" w:hAnsi="Arial" w:cs="Arial"/>
          <w:sz w:val="24"/>
          <w:szCs w:val="24"/>
          <w:lang w:val="fr-BE"/>
        </w:rPr>
        <w:t xml:space="preserve"> sur lesquels repose</w:t>
      </w:r>
      <w:r w:rsidR="008459E8" w:rsidRPr="00212D31">
        <w:rPr>
          <w:rFonts w:ascii="Arial" w:hAnsi="Arial" w:cs="Arial"/>
          <w:sz w:val="24"/>
          <w:szCs w:val="24"/>
          <w:lang w:val="fr-BE"/>
        </w:rPr>
        <w:t xml:space="preserve"> l’Union européenne</w:t>
      </w:r>
      <w:r w:rsidR="00082080" w:rsidRPr="00212D31">
        <w:rPr>
          <w:rFonts w:ascii="Arial" w:hAnsi="Arial" w:cs="Arial"/>
          <w:sz w:val="24"/>
          <w:szCs w:val="24"/>
          <w:lang w:val="fr-BE"/>
        </w:rPr>
        <w:t xml:space="preserve">. </w:t>
      </w:r>
      <w:r w:rsidR="008459E8" w:rsidRPr="00212D31">
        <w:rPr>
          <w:rFonts w:ascii="Arial" w:hAnsi="Arial" w:cs="Arial"/>
          <w:sz w:val="24"/>
          <w:szCs w:val="24"/>
          <w:lang w:val="fr-BE"/>
        </w:rPr>
        <w:t>Il est cependant intéressant de noter que la liberté, la démocratie, le respect des droits de l’homme et des libertés fondamentales et l’</w:t>
      </w:r>
      <w:r w:rsidR="00C86680" w:rsidRPr="00212D31">
        <w:rPr>
          <w:rFonts w:ascii="Arial" w:hAnsi="Arial" w:cs="Arial"/>
          <w:sz w:val="24"/>
          <w:szCs w:val="24"/>
          <w:lang w:val="fr-BE"/>
        </w:rPr>
        <w:t>É</w:t>
      </w:r>
      <w:r w:rsidR="008459E8" w:rsidRPr="00212D31">
        <w:rPr>
          <w:rFonts w:ascii="Arial" w:hAnsi="Arial" w:cs="Arial"/>
          <w:sz w:val="24"/>
          <w:szCs w:val="24"/>
          <w:lang w:val="fr-BE"/>
        </w:rPr>
        <w:t xml:space="preserve">tat de droit sont mentionnés à </w:t>
      </w:r>
      <w:r w:rsidR="008459E8" w:rsidRPr="00212D31">
        <w:rPr>
          <w:rFonts w:ascii="Arial" w:hAnsi="Arial" w:cs="Arial"/>
          <w:b/>
          <w:i/>
          <w:sz w:val="24"/>
          <w:szCs w:val="24"/>
          <w:lang w:val="fr-BE"/>
        </w:rPr>
        <w:t>deux</w:t>
      </w:r>
      <w:r w:rsidR="008459E8" w:rsidRPr="00212D31">
        <w:rPr>
          <w:rFonts w:ascii="Arial" w:hAnsi="Arial" w:cs="Arial"/>
          <w:sz w:val="24"/>
          <w:szCs w:val="24"/>
          <w:lang w:val="fr-BE"/>
        </w:rPr>
        <w:t xml:space="preserve"> reprises dans le Préambule, à savoir, d’une part, en tant que partie intégrante des héritages culturels, religieux et humanistes de l’Europe et, d’autre part, comme des valeurs fondamentales </w:t>
      </w:r>
      <w:r w:rsidR="00EC2954" w:rsidRPr="00212D31">
        <w:rPr>
          <w:rFonts w:ascii="Arial" w:hAnsi="Arial" w:cs="Arial"/>
          <w:sz w:val="24"/>
          <w:szCs w:val="24"/>
          <w:lang w:val="fr-BE"/>
        </w:rPr>
        <w:t xml:space="preserve">au respect desquelles les </w:t>
      </w:r>
      <w:r w:rsidR="00C86680" w:rsidRPr="00212D31">
        <w:rPr>
          <w:rFonts w:ascii="Arial" w:hAnsi="Arial" w:cs="Arial"/>
          <w:sz w:val="24"/>
          <w:szCs w:val="24"/>
          <w:lang w:val="fr-BE"/>
        </w:rPr>
        <w:t>É</w:t>
      </w:r>
      <w:r w:rsidR="008459E8" w:rsidRPr="00212D31">
        <w:rPr>
          <w:rFonts w:ascii="Arial" w:hAnsi="Arial" w:cs="Arial"/>
          <w:sz w:val="24"/>
          <w:szCs w:val="24"/>
          <w:lang w:val="fr-BE"/>
        </w:rPr>
        <w:t>tats membres s</w:t>
      </w:r>
      <w:r w:rsidR="00EC2954" w:rsidRPr="00212D31">
        <w:rPr>
          <w:rFonts w:ascii="Arial" w:hAnsi="Arial" w:cs="Arial"/>
          <w:sz w:val="24"/>
          <w:szCs w:val="24"/>
          <w:lang w:val="fr-BE"/>
        </w:rPr>
        <w:t>’</w:t>
      </w:r>
      <w:r w:rsidR="008459E8" w:rsidRPr="00212D31">
        <w:rPr>
          <w:rFonts w:ascii="Arial" w:hAnsi="Arial" w:cs="Arial"/>
          <w:sz w:val="24"/>
          <w:szCs w:val="24"/>
          <w:lang w:val="fr-BE"/>
        </w:rPr>
        <w:t>engagent</w:t>
      </w:r>
      <w:r w:rsidR="00EC2954" w:rsidRPr="00212D31">
        <w:rPr>
          <w:rFonts w:ascii="Arial" w:hAnsi="Arial" w:cs="Arial"/>
          <w:sz w:val="24"/>
          <w:szCs w:val="24"/>
          <w:lang w:val="fr-BE"/>
        </w:rPr>
        <w:t>, exprimant ainsi que l’Union européenne repose sur des fondements anciens et solides et qu’elle se veut une communauté de droit et de valeurs</w:t>
      </w:r>
      <w:r w:rsidR="007C1217" w:rsidRPr="00212D31">
        <w:rPr>
          <w:rFonts w:ascii="Arial" w:hAnsi="Arial" w:cs="Arial"/>
          <w:sz w:val="24"/>
          <w:szCs w:val="24"/>
          <w:lang w:val="fr-BE"/>
        </w:rPr>
        <w:t>.</w:t>
      </w:r>
      <w:r w:rsidR="00D75DEC" w:rsidRPr="00212D31">
        <w:rPr>
          <w:rFonts w:ascii="Arial" w:hAnsi="Arial" w:cs="Arial"/>
          <w:sz w:val="24"/>
          <w:szCs w:val="24"/>
          <w:lang w:val="fr-BE"/>
        </w:rPr>
        <w:t xml:space="preserve"> </w:t>
      </w:r>
      <w:r w:rsidR="00EC2954" w:rsidRPr="00212D31">
        <w:rPr>
          <w:rFonts w:ascii="Arial" w:hAnsi="Arial" w:cs="Arial"/>
          <w:sz w:val="24"/>
          <w:szCs w:val="24"/>
          <w:lang w:val="fr-BE"/>
        </w:rPr>
        <w:t xml:space="preserve">Pour renforcer cette impression, le préambule de la Charte des droits fondamentaux, rendue juridiquement contraignante par le traité de Lisbonne, </w:t>
      </w:r>
      <w:r w:rsidR="00456DC4" w:rsidRPr="00212D31">
        <w:rPr>
          <w:rFonts w:ascii="Arial" w:hAnsi="Arial" w:cs="Arial"/>
          <w:sz w:val="24"/>
          <w:szCs w:val="24"/>
          <w:lang w:val="fr-BE"/>
        </w:rPr>
        <w:t>précise que l’Union européenne repose sur les principes de la démocratie et de l’</w:t>
      </w:r>
      <w:r w:rsidR="00C86680" w:rsidRPr="00212D31">
        <w:rPr>
          <w:rFonts w:ascii="Arial" w:hAnsi="Arial" w:cs="Arial"/>
          <w:sz w:val="24"/>
          <w:szCs w:val="24"/>
          <w:lang w:val="fr-BE"/>
        </w:rPr>
        <w:t>É</w:t>
      </w:r>
      <w:r w:rsidR="00456DC4" w:rsidRPr="00212D31">
        <w:rPr>
          <w:rFonts w:ascii="Arial" w:hAnsi="Arial" w:cs="Arial"/>
          <w:sz w:val="24"/>
          <w:szCs w:val="24"/>
          <w:lang w:val="fr-BE"/>
        </w:rPr>
        <w:t xml:space="preserve">tat de droit et qu’elle place la personne au </w:t>
      </w:r>
      <w:r w:rsidR="00F13206" w:rsidRPr="00212D31">
        <w:rPr>
          <w:rFonts w:ascii="Arial" w:hAnsi="Arial" w:cs="Arial"/>
          <w:sz w:val="24"/>
          <w:szCs w:val="24"/>
          <w:lang w:val="fr-BE"/>
        </w:rPr>
        <w:t>cœur</w:t>
      </w:r>
      <w:r w:rsidR="00456DC4" w:rsidRPr="00212D31">
        <w:rPr>
          <w:rFonts w:ascii="Arial" w:hAnsi="Arial" w:cs="Arial"/>
          <w:sz w:val="24"/>
          <w:szCs w:val="24"/>
          <w:lang w:val="fr-BE"/>
        </w:rPr>
        <w:t xml:space="preserve"> de son action en instituant la citoyenneté de l’Union et en créant un espace de liberté, de sécurité et de justice</w:t>
      </w:r>
      <w:r w:rsidR="002368F3" w:rsidRPr="00212D31">
        <w:rPr>
          <w:rStyle w:val="Appelnotedebasdep"/>
          <w:rFonts w:ascii="Arial" w:hAnsi="Arial" w:cs="Arial"/>
          <w:sz w:val="24"/>
          <w:szCs w:val="24"/>
          <w:lang w:val="fr-BE"/>
        </w:rPr>
        <w:footnoteReference w:id="2"/>
      </w:r>
      <w:r w:rsidR="001212A5" w:rsidRPr="00212D31">
        <w:rPr>
          <w:rFonts w:ascii="Arial" w:hAnsi="Arial" w:cs="Arial"/>
          <w:sz w:val="24"/>
          <w:szCs w:val="24"/>
          <w:lang w:val="fr-BE"/>
        </w:rPr>
        <w:t>.</w:t>
      </w:r>
    </w:p>
    <w:p w14:paraId="75B832BC" w14:textId="77777777" w:rsidR="00212D31" w:rsidRPr="00212D31" w:rsidRDefault="00212D31" w:rsidP="00212D31">
      <w:pPr>
        <w:spacing w:after="0" w:line="240" w:lineRule="auto"/>
        <w:jc w:val="both"/>
        <w:rPr>
          <w:rFonts w:ascii="Arial" w:hAnsi="Arial" w:cs="Arial"/>
          <w:sz w:val="24"/>
          <w:szCs w:val="24"/>
          <w:lang w:val="fr-BE"/>
        </w:rPr>
      </w:pPr>
    </w:p>
    <w:p w14:paraId="4C9F6AFE" w14:textId="3A3E4655" w:rsidR="00ED37CA" w:rsidRDefault="0077736E"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 xml:space="preserve">Si l’on peut </w:t>
      </w:r>
      <w:r w:rsidR="005434B5" w:rsidRPr="00212D31">
        <w:rPr>
          <w:rFonts w:ascii="Arial" w:hAnsi="Arial" w:cs="Arial"/>
          <w:sz w:val="24"/>
          <w:szCs w:val="24"/>
          <w:lang w:val="fr-BE"/>
        </w:rPr>
        <w:t>certainement</w:t>
      </w:r>
      <w:r w:rsidRPr="00212D31">
        <w:rPr>
          <w:rFonts w:ascii="Arial" w:hAnsi="Arial" w:cs="Arial"/>
          <w:sz w:val="24"/>
          <w:szCs w:val="24"/>
          <w:lang w:val="fr-BE"/>
        </w:rPr>
        <w:t xml:space="preserve"> </w:t>
      </w:r>
      <w:r w:rsidR="007302B0" w:rsidRPr="00212D31">
        <w:rPr>
          <w:rFonts w:ascii="Arial" w:hAnsi="Arial" w:cs="Arial"/>
          <w:sz w:val="24"/>
          <w:szCs w:val="24"/>
          <w:lang w:val="fr-BE"/>
        </w:rPr>
        <w:t>débattre</w:t>
      </w:r>
      <w:r w:rsidRPr="00212D31">
        <w:rPr>
          <w:rFonts w:ascii="Arial" w:hAnsi="Arial" w:cs="Arial"/>
          <w:sz w:val="24"/>
          <w:szCs w:val="24"/>
          <w:lang w:val="fr-BE"/>
        </w:rPr>
        <w:t xml:space="preserve"> de la valeur normative des préambul</w:t>
      </w:r>
      <w:r w:rsidR="00AF2419" w:rsidRPr="00212D31">
        <w:rPr>
          <w:rFonts w:ascii="Arial" w:hAnsi="Arial" w:cs="Arial"/>
          <w:sz w:val="24"/>
          <w:szCs w:val="24"/>
          <w:lang w:val="fr-BE"/>
        </w:rPr>
        <w:t>es</w:t>
      </w:r>
      <w:r w:rsidR="00C36C34" w:rsidRPr="00212D31">
        <w:rPr>
          <w:rFonts w:ascii="Arial" w:hAnsi="Arial" w:cs="Arial"/>
          <w:sz w:val="24"/>
          <w:szCs w:val="24"/>
          <w:lang w:val="fr-BE"/>
        </w:rPr>
        <w:t xml:space="preserve">, </w:t>
      </w:r>
      <w:r w:rsidRPr="00212D31">
        <w:rPr>
          <w:rFonts w:ascii="Arial" w:hAnsi="Arial" w:cs="Arial"/>
          <w:sz w:val="24"/>
          <w:szCs w:val="24"/>
          <w:lang w:val="fr-BE"/>
        </w:rPr>
        <w:t>le caractère symbolique de telles proclamation</w:t>
      </w:r>
      <w:r w:rsidR="007302B0" w:rsidRPr="00212D31">
        <w:rPr>
          <w:rFonts w:ascii="Arial" w:hAnsi="Arial" w:cs="Arial"/>
          <w:sz w:val="24"/>
          <w:szCs w:val="24"/>
          <w:lang w:val="fr-BE"/>
        </w:rPr>
        <w:t>s</w:t>
      </w:r>
      <w:r w:rsidRPr="00212D31">
        <w:rPr>
          <w:rFonts w:ascii="Arial" w:hAnsi="Arial" w:cs="Arial"/>
          <w:sz w:val="24"/>
          <w:szCs w:val="24"/>
          <w:lang w:val="fr-BE"/>
        </w:rPr>
        <w:t xml:space="preserve"> solennelles est toutefois, lui, incontestable </w:t>
      </w:r>
      <w:r w:rsidR="007302B0" w:rsidRPr="00212D31">
        <w:rPr>
          <w:rFonts w:ascii="Arial" w:hAnsi="Arial" w:cs="Arial"/>
          <w:sz w:val="24"/>
          <w:szCs w:val="24"/>
          <w:lang w:val="fr-BE"/>
        </w:rPr>
        <w:t>et il gagne en relief</w:t>
      </w:r>
      <w:r w:rsidR="005434B5" w:rsidRPr="00212D31">
        <w:rPr>
          <w:rFonts w:ascii="Arial" w:hAnsi="Arial" w:cs="Arial"/>
          <w:sz w:val="24"/>
          <w:szCs w:val="24"/>
          <w:lang w:val="fr-BE"/>
        </w:rPr>
        <w:t xml:space="preserve"> lorsque les principes énumérés dans le préambule se retrouvent sous la forme </w:t>
      </w:r>
      <w:r w:rsidR="00DD23ED" w:rsidRPr="00212D31">
        <w:rPr>
          <w:rFonts w:ascii="Arial" w:hAnsi="Arial" w:cs="Arial"/>
          <w:sz w:val="24"/>
          <w:szCs w:val="24"/>
          <w:lang w:val="fr-BE"/>
        </w:rPr>
        <w:t>de véritables dispositions du Traité</w:t>
      </w:r>
      <w:r w:rsidR="00B005EF" w:rsidRPr="00212D31">
        <w:rPr>
          <w:rStyle w:val="Appelnotedebasdep"/>
          <w:rFonts w:ascii="Arial" w:hAnsi="Arial" w:cs="Arial"/>
          <w:sz w:val="24"/>
          <w:szCs w:val="24"/>
          <w:lang w:val="fr-BE"/>
        </w:rPr>
        <w:footnoteReference w:id="3"/>
      </w:r>
      <w:r w:rsidR="00717647" w:rsidRPr="00212D31">
        <w:rPr>
          <w:rFonts w:ascii="Arial" w:hAnsi="Arial" w:cs="Arial"/>
          <w:sz w:val="24"/>
          <w:szCs w:val="24"/>
          <w:lang w:val="fr-BE"/>
        </w:rPr>
        <w:t>.</w:t>
      </w:r>
      <w:r w:rsidR="006F4658" w:rsidRPr="00212D31">
        <w:rPr>
          <w:rFonts w:ascii="Arial" w:hAnsi="Arial" w:cs="Arial"/>
          <w:sz w:val="24"/>
          <w:szCs w:val="24"/>
          <w:lang w:val="fr-BE"/>
        </w:rPr>
        <w:t xml:space="preserve"> </w:t>
      </w:r>
      <w:r w:rsidR="00605DB0" w:rsidRPr="00212D31">
        <w:rPr>
          <w:rFonts w:ascii="Arial" w:hAnsi="Arial" w:cs="Arial"/>
          <w:sz w:val="24"/>
          <w:szCs w:val="24"/>
          <w:lang w:val="fr-BE"/>
        </w:rPr>
        <w:t xml:space="preserve">Revêt ainsi une importance particulière le fait que le Traité sur l’Union européenne place, à son article 2, les valeurs qui font écho au préambule </w:t>
      </w:r>
      <w:r w:rsidR="00605DB0" w:rsidRPr="00212D31">
        <w:rPr>
          <w:rFonts w:ascii="Arial" w:hAnsi="Arial" w:cs="Arial"/>
          <w:b/>
          <w:i/>
          <w:sz w:val="24"/>
          <w:szCs w:val="24"/>
          <w:lang w:val="fr-BE"/>
        </w:rPr>
        <w:t>avant</w:t>
      </w:r>
      <w:r w:rsidR="00605DB0" w:rsidRPr="00212D31">
        <w:rPr>
          <w:rFonts w:ascii="Arial" w:hAnsi="Arial" w:cs="Arial"/>
          <w:sz w:val="24"/>
          <w:szCs w:val="24"/>
          <w:lang w:val="fr-BE"/>
        </w:rPr>
        <w:t xml:space="preserve"> l’énumération, à l’article 3, des buts poursuivis par l’Union</w:t>
      </w:r>
      <w:r w:rsidR="00482A22" w:rsidRPr="00212D31">
        <w:rPr>
          <w:rFonts w:ascii="Arial" w:hAnsi="Arial" w:cs="Arial"/>
          <w:sz w:val="24"/>
          <w:szCs w:val="24"/>
          <w:lang w:val="fr-BE"/>
        </w:rPr>
        <w:t xml:space="preserve">. </w:t>
      </w:r>
      <w:r w:rsidR="00605DB0" w:rsidRPr="00212D31">
        <w:rPr>
          <w:rFonts w:ascii="Arial" w:hAnsi="Arial" w:cs="Arial"/>
          <w:sz w:val="24"/>
          <w:szCs w:val="24"/>
          <w:lang w:val="fr-BE"/>
        </w:rPr>
        <w:t>Les valeurs mentionnées à l’article 2 sont le respect de la dignité humaine, la liberté, la démocratie, l’égalité, l’</w:t>
      </w:r>
      <w:r w:rsidR="00C86680" w:rsidRPr="00212D31">
        <w:rPr>
          <w:rFonts w:ascii="Arial" w:hAnsi="Arial" w:cs="Arial"/>
          <w:sz w:val="24"/>
          <w:szCs w:val="24"/>
          <w:lang w:val="fr-BE"/>
        </w:rPr>
        <w:t>É</w:t>
      </w:r>
      <w:r w:rsidR="00605DB0" w:rsidRPr="00212D31">
        <w:rPr>
          <w:rFonts w:ascii="Arial" w:hAnsi="Arial" w:cs="Arial"/>
          <w:sz w:val="24"/>
          <w:szCs w:val="24"/>
          <w:lang w:val="fr-BE"/>
        </w:rPr>
        <w:t>tat de droit et le respect des droits de l</w:t>
      </w:r>
      <w:r w:rsidR="000F1082" w:rsidRPr="00212D31">
        <w:rPr>
          <w:rFonts w:ascii="Arial" w:hAnsi="Arial" w:cs="Arial"/>
          <w:sz w:val="24"/>
          <w:szCs w:val="24"/>
          <w:lang w:val="fr-BE"/>
        </w:rPr>
        <w:t>’</w:t>
      </w:r>
      <w:r w:rsidR="00605DB0" w:rsidRPr="00212D31">
        <w:rPr>
          <w:rFonts w:ascii="Arial" w:hAnsi="Arial" w:cs="Arial"/>
          <w:sz w:val="24"/>
          <w:szCs w:val="24"/>
          <w:lang w:val="fr-BE"/>
        </w:rPr>
        <w:t>homme</w:t>
      </w:r>
      <w:r w:rsidR="000F1082" w:rsidRPr="00212D31">
        <w:rPr>
          <w:rFonts w:ascii="Arial" w:hAnsi="Arial" w:cs="Arial"/>
          <w:sz w:val="24"/>
          <w:szCs w:val="24"/>
          <w:lang w:val="fr-BE"/>
        </w:rPr>
        <w:t>, y compris des droits des personnes appartenant à des minorités</w:t>
      </w:r>
      <w:r w:rsidR="00482A22" w:rsidRPr="00212D31">
        <w:rPr>
          <w:rFonts w:ascii="Arial" w:hAnsi="Arial" w:cs="Arial"/>
          <w:sz w:val="24"/>
          <w:szCs w:val="24"/>
          <w:lang w:val="fr-BE"/>
        </w:rPr>
        <w:t xml:space="preserve">. </w:t>
      </w:r>
      <w:r w:rsidR="000F1082" w:rsidRPr="00212D31">
        <w:rPr>
          <w:rFonts w:ascii="Arial" w:hAnsi="Arial" w:cs="Arial"/>
          <w:sz w:val="24"/>
          <w:szCs w:val="24"/>
          <w:lang w:val="fr-BE"/>
        </w:rPr>
        <w:t xml:space="preserve">L’article poursuit en précisant que ces valeurs sont communes aux </w:t>
      </w:r>
      <w:r w:rsidR="00C86680" w:rsidRPr="00212D31">
        <w:rPr>
          <w:rFonts w:ascii="Arial" w:hAnsi="Arial" w:cs="Arial"/>
          <w:sz w:val="24"/>
          <w:szCs w:val="24"/>
          <w:lang w:val="fr-BE"/>
        </w:rPr>
        <w:t>É</w:t>
      </w:r>
      <w:r w:rsidR="000F1082" w:rsidRPr="00212D31">
        <w:rPr>
          <w:rFonts w:ascii="Arial" w:hAnsi="Arial" w:cs="Arial"/>
          <w:sz w:val="24"/>
          <w:szCs w:val="24"/>
          <w:lang w:val="fr-BE"/>
        </w:rPr>
        <w:t>tats membres dans une société caractérisée par le pluralisme, la non-discrimination, la tolérance, la justice, la solidarité et l’égalité entre les femmes et les hommes</w:t>
      </w:r>
      <w:r w:rsidR="00482A22" w:rsidRPr="00212D31">
        <w:rPr>
          <w:rFonts w:ascii="Arial" w:hAnsi="Arial" w:cs="Arial"/>
          <w:sz w:val="24"/>
          <w:szCs w:val="24"/>
          <w:lang w:val="fr-BE"/>
        </w:rPr>
        <w:t>.</w:t>
      </w:r>
      <w:r w:rsidR="008C0DAD" w:rsidRPr="00212D31">
        <w:rPr>
          <w:rFonts w:ascii="Arial" w:hAnsi="Arial" w:cs="Arial"/>
          <w:sz w:val="24"/>
          <w:szCs w:val="24"/>
          <w:lang w:val="fr-BE"/>
        </w:rPr>
        <w:t xml:space="preserve"> </w:t>
      </w:r>
      <w:r w:rsidR="000F1082" w:rsidRPr="00212D31">
        <w:rPr>
          <w:rFonts w:ascii="Arial" w:hAnsi="Arial" w:cs="Arial"/>
          <w:sz w:val="24"/>
          <w:szCs w:val="24"/>
          <w:lang w:val="fr-BE"/>
        </w:rPr>
        <w:t>Afin de compléter le cadre juridique, mention doit encore être faite des articles 6, 7 et 49 du traité.</w:t>
      </w:r>
      <w:r w:rsidR="008C0DAD" w:rsidRPr="00212D31">
        <w:rPr>
          <w:rFonts w:ascii="Arial" w:hAnsi="Arial" w:cs="Arial"/>
          <w:sz w:val="24"/>
          <w:szCs w:val="24"/>
          <w:lang w:val="fr-BE"/>
        </w:rPr>
        <w:t xml:space="preserve"> </w:t>
      </w:r>
      <w:r w:rsidR="000F1082" w:rsidRPr="00212D31">
        <w:rPr>
          <w:rFonts w:ascii="Arial" w:hAnsi="Arial" w:cs="Arial"/>
          <w:sz w:val="24"/>
          <w:szCs w:val="24"/>
          <w:lang w:val="fr-BE"/>
        </w:rPr>
        <w:t>L’article 6, très détaillé, est consacré aux divers aspects de la protection des droits fondamentaux</w:t>
      </w:r>
      <w:r w:rsidR="008C0DAD" w:rsidRPr="00212D31">
        <w:rPr>
          <w:rStyle w:val="Appelnotedebasdep"/>
          <w:rFonts w:ascii="Arial" w:hAnsi="Arial" w:cs="Arial"/>
          <w:sz w:val="24"/>
          <w:szCs w:val="24"/>
          <w:lang w:val="fr-BE"/>
        </w:rPr>
        <w:footnoteReference w:id="4"/>
      </w:r>
      <w:r w:rsidR="008C0DAD" w:rsidRPr="00212D31">
        <w:rPr>
          <w:rFonts w:ascii="Arial" w:hAnsi="Arial" w:cs="Arial"/>
          <w:sz w:val="24"/>
          <w:szCs w:val="24"/>
          <w:lang w:val="fr-BE"/>
        </w:rPr>
        <w:t xml:space="preserve">, </w:t>
      </w:r>
      <w:r w:rsidR="000F1082" w:rsidRPr="00212D31">
        <w:rPr>
          <w:rFonts w:ascii="Arial" w:hAnsi="Arial" w:cs="Arial"/>
          <w:sz w:val="24"/>
          <w:szCs w:val="24"/>
          <w:lang w:val="fr-BE"/>
        </w:rPr>
        <w:t>qui constituent par tradition un élément important de l’</w:t>
      </w:r>
      <w:r w:rsidR="00C86680" w:rsidRPr="00212D31">
        <w:rPr>
          <w:rFonts w:ascii="Arial" w:hAnsi="Arial" w:cs="Arial"/>
          <w:sz w:val="24"/>
          <w:szCs w:val="24"/>
          <w:lang w:val="fr-BE"/>
        </w:rPr>
        <w:t>É</w:t>
      </w:r>
      <w:r w:rsidR="000F1082" w:rsidRPr="00212D31">
        <w:rPr>
          <w:rFonts w:ascii="Arial" w:hAnsi="Arial" w:cs="Arial"/>
          <w:sz w:val="24"/>
          <w:szCs w:val="24"/>
          <w:lang w:val="fr-BE"/>
        </w:rPr>
        <w:t>tat de droit et qui relèvent donc pleinement de notre propos, tandis que l’article 7 prévoit une procédure, accompagnée de sanctions, à appliquer lorsqu’il existe un risque clair de viol</w:t>
      </w:r>
      <w:r w:rsidR="00D4547B" w:rsidRPr="00212D31">
        <w:rPr>
          <w:rFonts w:ascii="Arial" w:hAnsi="Arial" w:cs="Arial"/>
          <w:sz w:val="24"/>
          <w:szCs w:val="24"/>
          <w:lang w:val="fr-BE"/>
        </w:rPr>
        <w:t xml:space="preserve">ation par un </w:t>
      </w:r>
      <w:r w:rsidR="00C86680" w:rsidRPr="00212D31">
        <w:rPr>
          <w:rFonts w:ascii="Arial" w:hAnsi="Arial" w:cs="Arial"/>
          <w:sz w:val="24"/>
          <w:szCs w:val="24"/>
          <w:lang w:val="fr-BE"/>
        </w:rPr>
        <w:t>É</w:t>
      </w:r>
      <w:r w:rsidR="00D4547B" w:rsidRPr="00212D31">
        <w:rPr>
          <w:rFonts w:ascii="Arial" w:hAnsi="Arial" w:cs="Arial"/>
          <w:sz w:val="24"/>
          <w:szCs w:val="24"/>
          <w:lang w:val="fr-BE"/>
        </w:rPr>
        <w:t>tat membre des va</w:t>
      </w:r>
      <w:r w:rsidR="000F1082" w:rsidRPr="00212D31">
        <w:rPr>
          <w:rFonts w:ascii="Arial" w:hAnsi="Arial" w:cs="Arial"/>
          <w:sz w:val="24"/>
          <w:szCs w:val="24"/>
          <w:lang w:val="fr-BE"/>
        </w:rPr>
        <w:t>leurs visées à l’article 2</w:t>
      </w:r>
      <w:r w:rsidR="00387781" w:rsidRPr="00212D31">
        <w:rPr>
          <w:rFonts w:ascii="Arial" w:hAnsi="Arial" w:cs="Arial"/>
          <w:sz w:val="24"/>
          <w:szCs w:val="24"/>
          <w:lang w:val="fr-BE"/>
        </w:rPr>
        <w:t>.</w:t>
      </w:r>
      <w:r w:rsidR="00C95E9C" w:rsidRPr="00212D31">
        <w:rPr>
          <w:rFonts w:ascii="Arial" w:hAnsi="Arial" w:cs="Arial"/>
          <w:sz w:val="24"/>
          <w:szCs w:val="24"/>
          <w:lang w:val="fr-BE"/>
        </w:rPr>
        <w:t xml:space="preserve"> </w:t>
      </w:r>
      <w:r w:rsidR="00E52AD4" w:rsidRPr="00212D31">
        <w:rPr>
          <w:rFonts w:ascii="Arial" w:hAnsi="Arial" w:cs="Arial"/>
          <w:sz w:val="24"/>
          <w:szCs w:val="24"/>
          <w:lang w:val="fr-BE"/>
        </w:rPr>
        <w:t xml:space="preserve">Quant à l’article 49, il </w:t>
      </w:r>
      <w:r w:rsidR="00E52AD4" w:rsidRPr="00212D31">
        <w:rPr>
          <w:rFonts w:ascii="Arial" w:hAnsi="Arial" w:cs="Arial"/>
          <w:sz w:val="24"/>
          <w:szCs w:val="24"/>
          <w:lang w:val="fr-BE"/>
        </w:rPr>
        <w:lastRenderedPageBreak/>
        <w:t>renvoie expressément aux valeurs figurant à l’article 2 pour ce qui est de l’adhésion à l’Union européenne</w:t>
      </w:r>
      <w:r w:rsidR="00343B72" w:rsidRPr="00212D31">
        <w:rPr>
          <w:rFonts w:ascii="Arial" w:hAnsi="Arial" w:cs="Arial"/>
          <w:sz w:val="24"/>
          <w:szCs w:val="24"/>
          <w:lang w:val="fr-BE"/>
        </w:rPr>
        <w:t xml:space="preserve">. </w:t>
      </w:r>
      <w:r w:rsidR="00E52AD4" w:rsidRPr="00212D31">
        <w:rPr>
          <w:rFonts w:ascii="Arial" w:hAnsi="Arial" w:cs="Arial"/>
          <w:sz w:val="24"/>
          <w:szCs w:val="24"/>
          <w:lang w:val="fr-BE"/>
        </w:rPr>
        <w:t xml:space="preserve">Tout </w:t>
      </w:r>
      <w:r w:rsidR="00C86680" w:rsidRPr="00212D31">
        <w:rPr>
          <w:rFonts w:ascii="Arial" w:hAnsi="Arial" w:cs="Arial"/>
          <w:sz w:val="24"/>
          <w:szCs w:val="24"/>
          <w:lang w:val="fr-BE"/>
        </w:rPr>
        <w:t>É</w:t>
      </w:r>
      <w:r w:rsidR="00E52AD4" w:rsidRPr="00212D31">
        <w:rPr>
          <w:rFonts w:ascii="Arial" w:hAnsi="Arial" w:cs="Arial"/>
          <w:sz w:val="24"/>
          <w:szCs w:val="24"/>
          <w:lang w:val="fr-BE"/>
        </w:rPr>
        <w:t xml:space="preserve">tat européen peut demander à devenir membre de l’Union lorsqu’il (premièrement) respecte </w:t>
      </w:r>
      <w:r w:rsidR="00315534" w:rsidRPr="00212D31">
        <w:rPr>
          <w:rFonts w:ascii="Arial" w:hAnsi="Arial" w:cs="Arial"/>
          <w:sz w:val="24"/>
          <w:szCs w:val="24"/>
          <w:lang w:val="fr-BE"/>
        </w:rPr>
        <w:t>les valeurs visées à l’article 2 et s’engage à les promouvoir et (deuxièmement) remplit les critères d’éligibilité approuvés par le Conseil européen</w:t>
      </w:r>
      <w:r w:rsidR="00DD79C7" w:rsidRPr="00212D31">
        <w:rPr>
          <w:rFonts w:ascii="Arial" w:hAnsi="Arial" w:cs="Arial"/>
          <w:sz w:val="24"/>
          <w:szCs w:val="24"/>
          <w:lang w:val="fr-BE"/>
        </w:rPr>
        <w:t>.</w:t>
      </w:r>
      <w:r w:rsidR="00CA5FCB" w:rsidRPr="00212D31">
        <w:rPr>
          <w:rFonts w:ascii="Arial" w:hAnsi="Arial" w:cs="Arial"/>
          <w:sz w:val="24"/>
          <w:szCs w:val="24"/>
          <w:lang w:val="fr-BE"/>
        </w:rPr>
        <w:t xml:space="preserve"> </w:t>
      </w:r>
      <w:r w:rsidR="003D190B" w:rsidRPr="00212D31">
        <w:rPr>
          <w:rFonts w:ascii="Arial" w:hAnsi="Arial" w:cs="Arial"/>
          <w:sz w:val="24"/>
          <w:szCs w:val="24"/>
          <w:lang w:val="fr-BE"/>
        </w:rPr>
        <w:t xml:space="preserve">Il est à noter que la seule condition </w:t>
      </w:r>
      <w:r w:rsidR="00FB7C9A" w:rsidRPr="00212D31">
        <w:rPr>
          <w:rFonts w:ascii="Arial" w:hAnsi="Arial" w:cs="Arial"/>
          <w:sz w:val="24"/>
          <w:szCs w:val="24"/>
          <w:lang w:val="fr-BE"/>
        </w:rPr>
        <w:t>expressément</w:t>
      </w:r>
      <w:r w:rsidR="003965E5" w:rsidRPr="00212D31">
        <w:rPr>
          <w:rFonts w:ascii="Arial" w:hAnsi="Arial" w:cs="Arial"/>
          <w:sz w:val="24"/>
          <w:szCs w:val="24"/>
          <w:lang w:val="fr-BE"/>
        </w:rPr>
        <w:t xml:space="preserve"> prévue</w:t>
      </w:r>
      <w:r w:rsidR="003D190B" w:rsidRPr="00212D31">
        <w:rPr>
          <w:rFonts w:ascii="Arial" w:hAnsi="Arial" w:cs="Arial"/>
          <w:sz w:val="24"/>
          <w:szCs w:val="24"/>
          <w:lang w:val="fr-BE"/>
        </w:rPr>
        <w:t xml:space="preserve"> par l’article 49 pour l’adhésion d’un </w:t>
      </w:r>
      <w:r w:rsidR="00C86680" w:rsidRPr="00212D31">
        <w:rPr>
          <w:rFonts w:ascii="Arial" w:hAnsi="Arial" w:cs="Arial"/>
          <w:sz w:val="24"/>
          <w:szCs w:val="24"/>
          <w:lang w:val="fr-BE"/>
        </w:rPr>
        <w:t>É</w:t>
      </w:r>
      <w:r w:rsidR="003D190B" w:rsidRPr="00212D31">
        <w:rPr>
          <w:rFonts w:ascii="Arial" w:hAnsi="Arial" w:cs="Arial"/>
          <w:sz w:val="24"/>
          <w:szCs w:val="24"/>
          <w:lang w:val="fr-BE"/>
        </w:rPr>
        <w:t xml:space="preserve">tat </w:t>
      </w:r>
      <w:r w:rsidR="00717647" w:rsidRPr="00212D31">
        <w:rPr>
          <w:rFonts w:ascii="Arial" w:hAnsi="Arial" w:cs="Arial"/>
          <w:sz w:val="24"/>
          <w:szCs w:val="24"/>
          <w:lang w:val="fr-BE"/>
        </w:rPr>
        <w:t xml:space="preserve">à l’Union européenne </w:t>
      </w:r>
      <w:r w:rsidR="003D190B" w:rsidRPr="00212D31">
        <w:rPr>
          <w:rFonts w:ascii="Arial" w:hAnsi="Arial" w:cs="Arial"/>
          <w:sz w:val="24"/>
          <w:szCs w:val="24"/>
          <w:lang w:val="fr-BE"/>
        </w:rPr>
        <w:t xml:space="preserve">réside </w:t>
      </w:r>
      <w:r w:rsidR="00207801" w:rsidRPr="00212D31">
        <w:rPr>
          <w:rFonts w:ascii="Arial" w:hAnsi="Arial" w:cs="Arial"/>
          <w:sz w:val="24"/>
          <w:szCs w:val="24"/>
          <w:lang w:val="fr-BE"/>
        </w:rPr>
        <w:t xml:space="preserve">dans </w:t>
      </w:r>
      <w:r w:rsidR="003D190B" w:rsidRPr="00212D31">
        <w:rPr>
          <w:rFonts w:ascii="Arial" w:hAnsi="Arial" w:cs="Arial"/>
          <w:sz w:val="24"/>
          <w:szCs w:val="24"/>
          <w:lang w:val="fr-BE"/>
        </w:rPr>
        <w:t xml:space="preserve">le respect des valeurs consacrées à l’article 2, alors que </w:t>
      </w:r>
      <w:r w:rsidR="00A43638" w:rsidRPr="00212D31">
        <w:rPr>
          <w:rFonts w:ascii="Arial" w:hAnsi="Arial" w:cs="Arial"/>
          <w:sz w:val="24"/>
          <w:szCs w:val="24"/>
          <w:lang w:val="fr-BE"/>
        </w:rPr>
        <w:t>les critères d’éligibilité, qui ne sont pas détaillés par l’article 49, relèvent du Conseil européen</w:t>
      </w:r>
      <w:r w:rsidR="00CA5FCB" w:rsidRPr="00212D31">
        <w:rPr>
          <w:rFonts w:ascii="Arial" w:hAnsi="Arial" w:cs="Arial"/>
          <w:sz w:val="24"/>
          <w:szCs w:val="24"/>
          <w:lang w:val="fr-BE"/>
        </w:rPr>
        <w:t>.</w:t>
      </w:r>
    </w:p>
    <w:p w14:paraId="367F42B8" w14:textId="77777777" w:rsidR="00212D31" w:rsidRPr="00212D31" w:rsidRDefault="00212D31" w:rsidP="00212D31">
      <w:pPr>
        <w:spacing w:after="0" w:line="240" w:lineRule="auto"/>
        <w:jc w:val="both"/>
        <w:rPr>
          <w:rFonts w:ascii="Arial" w:hAnsi="Arial" w:cs="Arial"/>
          <w:sz w:val="24"/>
          <w:szCs w:val="24"/>
          <w:lang w:val="fr-BE"/>
        </w:rPr>
      </w:pPr>
    </w:p>
    <w:p w14:paraId="1AD87927" w14:textId="162DCA39" w:rsidR="00387781" w:rsidRDefault="00A43638"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 xml:space="preserve">Le Conseil européen s’est saisi de la question des critères d’éligibilité à maintes reprises et un premier groupe de critères a été développé en 1993 dans la </w:t>
      </w:r>
      <w:r w:rsidR="00FB7C9A" w:rsidRPr="00212D31">
        <w:rPr>
          <w:rFonts w:ascii="Arial" w:hAnsi="Arial" w:cs="Arial"/>
          <w:sz w:val="24"/>
          <w:szCs w:val="24"/>
          <w:lang w:val="fr-BE"/>
        </w:rPr>
        <w:t>perspective</w:t>
      </w:r>
      <w:r w:rsidRPr="00212D31">
        <w:rPr>
          <w:rFonts w:ascii="Arial" w:hAnsi="Arial" w:cs="Arial"/>
          <w:sz w:val="24"/>
          <w:szCs w:val="24"/>
          <w:lang w:val="fr-BE"/>
        </w:rPr>
        <w:t xml:space="preserve"> de l’adhésion des pays d’Europe centrale et orientale</w:t>
      </w:r>
      <w:r w:rsidR="00447141" w:rsidRPr="00212D31">
        <w:rPr>
          <w:rFonts w:ascii="Arial" w:hAnsi="Arial" w:cs="Arial"/>
          <w:sz w:val="24"/>
          <w:szCs w:val="24"/>
          <w:lang w:val="fr-BE"/>
        </w:rPr>
        <w:t xml:space="preserve">. </w:t>
      </w:r>
      <w:r w:rsidRPr="00212D31">
        <w:rPr>
          <w:rFonts w:ascii="Arial" w:hAnsi="Arial" w:cs="Arial"/>
          <w:sz w:val="24"/>
          <w:szCs w:val="24"/>
          <w:lang w:val="fr-BE"/>
        </w:rPr>
        <w:t>Ces critères, baptisés critères de Copenhague, sont au nombre de trois, à savoir</w:t>
      </w:r>
      <w:r w:rsidR="00447141" w:rsidRPr="00212D31">
        <w:rPr>
          <w:rFonts w:ascii="Arial" w:hAnsi="Arial" w:cs="Arial"/>
          <w:sz w:val="24"/>
          <w:szCs w:val="24"/>
          <w:lang w:val="fr-BE"/>
        </w:rPr>
        <w:t xml:space="preserve"> (</w:t>
      </w:r>
      <w:r w:rsidR="00717647" w:rsidRPr="00212D31">
        <w:rPr>
          <w:rFonts w:ascii="Arial" w:hAnsi="Arial" w:cs="Arial"/>
          <w:sz w:val="24"/>
          <w:szCs w:val="24"/>
          <w:lang w:val="fr-BE"/>
        </w:rPr>
        <w:t>un</w:t>
      </w:r>
      <w:r w:rsidR="00447141" w:rsidRPr="00212D31">
        <w:rPr>
          <w:rFonts w:ascii="Arial" w:hAnsi="Arial" w:cs="Arial"/>
          <w:sz w:val="24"/>
          <w:szCs w:val="24"/>
          <w:lang w:val="fr-BE"/>
        </w:rPr>
        <w:t xml:space="preserve">) </w:t>
      </w:r>
      <w:r w:rsidRPr="00212D31">
        <w:rPr>
          <w:rFonts w:ascii="Arial" w:hAnsi="Arial" w:cs="Arial"/>
          <w:sz w:val="24"/>
          <w:szCs w:val="24"/>
          <w:lang w:val="fr-BE"/>
        </w:rPr>
        <w:t>des institutions stables garantissant la démocratie et l’</w:t>
      </w:r>
      <w:r w:rsidR="00C86680" w:rsidRPr="00212D31">
        <w:rPr>
          <w:rFonts w:ascii="Arial" w:hAnsi="Arial" w:cs="Arial"/>
          <w:sz w:val="24"/>
          <w:szCs w:val="24"/>
          <w:lang w:val="fr-BE"/>
        </w:rPr>
        <w:t>É</w:t>
      </w:r>
      <w:r w:rsidRPr="00212D31">
        <w:rPr>
          <w:rFonts w:ascii="Arial" w:hAnsi="Arial" w:cs="Arial"/>
          <w:sz w:val="24"/>
          <w:szCs w:val="24"/>
          <w:lang w:val="fr-BE"/>
        </w:rPr>
        <w:t>tat de droit</w:t>
      </w:r>
      <w:r w:rsidR="00F360F0" w:rsidRPr="00212D31">
        <w:rPr>
          <w:rFonts w:ascii="Arial" w:hAnsi="Arial" w:cs="Arial"/>
          <w:sz w:val="24"/>
          <w:szCs w:val="24"/>
          <w:lang w:val="fr-BE"/>
        </w:rPr>
        <w:t xml:space="preserve"> (critère politique)</w:t>
      </w:r>
      <w:r w:rsidR="00447141" w:rsidRPr="00212D31">
        <w:rPr>
          <w:rFonts w:ascii="Arial" w:hAnsi="Arial" w:cs="Arial"/>
          <w:sz w:val="24"/>
          <w:szCs w:val="24"/>
          <w:lang w:val="fr-BE"/>
        </w:rPr>
        <w:t>, (</w:t>
      </w:r>
      <w:r w:rsidR="00717647" w:rsidRPr="00212D31">
        <w:rPr>
          <w:rFonts w:ascii="Arial" w:hAnsi="Arial" w:cs="Arial"/>
          <w:sz w:val="24"/>
          <w:szCs w:val="24"/>
          <w:lang w:val="fr-BE"/>
        </w:rPr>
        <w:t>deux</w:t>
      </w:r>
      <w:r w:rsidR="00447141" w:rsidRPr="00212D31">
        <w:rPr>
          <w:rFonts w:ascii="Arial" w:hAnsi="Arial" w:cs="Arial"/>
          <w:sz w:val="24"/>
          <w:szCs w:val="24"/>
          <w:lang w:val="fr-BE"/>
        </w:rPr>
        <w:t xml:space="preserve">) </w:t>
      </w:r>
      <w:r w:rsidRPr="00212D31">
        <w:rPr>
          <w:rFonts w:ascii="Arial" w:hAnsi="Arial" w:cs="Arial"/>
          <w:sz w:val="24"/>
          <w:szCs w:val="24"/>
          <w:lang w:val="fr-BE"/>
        </w:rPr>
        <w:t>une économie de marché viable</w:t>
      </w:r>
      <w:r w:rsidR="00F360F0" w:rsidRPr="00212D31">
        <w:rPr>
          <w:rFonts w:ascii="Arial" w:hAnsi="Arial" w:cs="Arial"/>
          <w:sz w:val="24"/>
          <w:szCs w:val="24"/>
          <w:lang w:val="fr-BE"/>
        </w:rPr>
        <w:t xml:space="preserve"> (critère économique)</w:t>
      </w:r>
      <w:r w:rsidRPr="00212D31">
        <w:rPr>
          <w:rFonts w:ascii="Arial" w:hAnsi="Arial" w:cs="Arial"/>
          <w:sz w:val="24"/>
          <w:szCs w:val="24"/>
          <w:lang w:val="fr-BE"/>
        </w:rPr>
        <w:t xml:space="preserve"> et</w:t>
      </w:r>
      <w:r w:rsidR="00447141" w:rsidRPr="00212D31">
        <w:rPr>
          <w:rFonts w:ascii="Arial" w:hAnsi="Arial" w:cs="Arial"/>
          <w:sz w:val="24"/>
          <w:szCs w:val="24"/>
          <w:lang w:val="fr-BE"/>
        </w:rPr>
        <w:t xml:space="preserve"> (</w:t>
      </w:r>
      <w:r w:rsidR="00717647" w:rsidRPr="00212D31">
        <w:rPr>
          <w:rFonts w:ascii="Arial" w:hAnsi="Arial" w:cs="Arial"/>
          <w:sz w:val="24"/>
          <w:szCs w:val="24"/>
          <w:lang w:val="fr-BE"/>
        </w:rPr>
        <w:t>trois</w:t>
      </w:r>
      <w:r w:rsidR="00447141" w:rsidRPr="00212D31">
        <w:rPr>
          <w:rFonts w:ascii="Arial" w:hAnsi="Arial" w:cs="Arial"/>
          <w:sz w:val="24"/>
          <w:szCs w:val="24"/>
          <w:lang w:val="fr-BE"/>
        </w:rPr>
        <w:t xml:space="preserve">) </w:t>
      </w:r>
      <w:r w:rsidRPr="00212D31">
        <w:rPr>
          <w:rFonts w:ascii="Arial" w:hAnsi="Arial" w:cs="Arial"/>
          <w:sz w:val="24"/>
          <w:szCs w:val="24"/>
          <w:lang w:val="fr-BE"/>
        </w:rPr>
        <w:t xml:space="preserve">la capacité d’assumer les obligations découlant d’une </w:t>
      </w:r>
      <w:r w:rsidR="00C0650D" w:rsidRPr="00212D31">
        <w:rPr>
          <w:rFonts w:ascii="Arial" w:hAnsi="Arial" w:cs="Arial"/>
          <w:sz w:val="24"/>
          <w:szCs w:val="24"/>
          <w:lang w:val="fr-BE"/>
        </w:rPr>
        <w:t>adhésion et notamment de souscrire aux objectifs de l’union politique, économique et monétaire</w:t>
      </w:r>
      <w:r w:rsidR="00F360F0" w:rsidRPr="00212D31">
        <w:rPr>
          <w:rFonts w:ascii="Arial" w:hAnsi="Arial" w:cs="Arial"/>
          <w:sz w:val="24"/>
          <w:szCs w:val="24"/>
          <w:lang w:val="fr-BE"/>
        </w:rPr>
        <w:t xml:space="preserve"> (acquis communautaire)</w:t>
      </w:r>
      <w:r w:rsidR="000D019B" w:rsidRPr="00212D31">
        <w:rPr>
          <w:rStyle w:val="Appelnotedebasdep"/>
          <w:rFonts w:ascii="Arial" w:hAnsi="Arial" w:cs="Arial"/>
          <w:sz w:val="24"/>
          <w:szCs w:val="24"/>
          <w:lang w:val="fr-BE"/>
        </w:rPr>
        <w:footnoteReference w:id="5"/>
      </w:r>
      <w:r w:rsidR="000D019B" w:rsidRPr="00212D31">
        <w:rPr>
          <w:rFonts w:ascii="Arial" w:hAnsi="Arial" w:cs="Arial"/>
          <w:sz w:val="24"/>
          <w:szCs w:val="24"/>
          <w:lang w:val="fr-BE"/>
        </w:rPr>
        <w:t xml:space="preserve">. </w:t>
      </w:r>
      <w:r w:rsidR="00055B3A" w:rsidRPr="00212D31">
        <w:rPr>
          <w:rFonts w:ascii="Arial" w:hAnsi="Arial" w:cs="Arial"/>
          <w:sz w:val="24"/>
          <w:szCs w:val="24"/>
          <w:lang w:val="fr-BE"/>
        </w:rPr>
        <w:t xml:space="preserve">Dans le cadre des négociations d’adhésion avec la Croatie et la Turquie, les critères de Copenhague ont été complétés en 2006 par le Conseil européen qui y a ajouté </w:t>
      </w:r>
      <w:r w:rsidR="00946D20" w:rsidRPr="00212D31">
        <w:rPr>
          <w:rFonts w:ascii="Arial" w:hAnsi="Arial" w:cs="Arial"/>
          <w:sz w:val="24"/>
          <w:szCs w:val="24"/>
          <w:lang w:val="fr-BE"/>
        </w:rPr>
        <w:t>la capacité de l’Union d’</w:t>
      </w:r>
      <w:r w:rsidR="00946D20" w:rsidRPr="00212D31">
        <w:rPr>
          <w:rFonts w:ascii="Arial" w:hAnsi="Arial" w:cs="Arial"/>
          <w:b/>
          <w:i/>
          <w:sz w:val="24"/>
          <w:szCs w:val="24"/>
          <w:lang w:val="fr-BE"/>
        </w:rPr>
        <w:t>accueillir</w:t>
      </w:r>
      <w:r w:rsidR="00946D20" w:rsidRPr="00212D31">
        <w:rPr>
          <w:rFonts w:ascii="Arial" w:hAnsi="Arial" w:cs="Arial"/>
          <w:sz w:val="24"/>
          <w:szCs w:val="24"/>
          <w:lang w:val="fr-BE"/>
        </w:rPr>
        <w:t xml:space="preserve"> de nouveaux membres</w:t>
      </w:r>
      <w:r w:rsidR="00A65992" w:rsidRPr="00212D31">
        <w:rPr>
          <w:rStyle w:val="Appelnotedebasdep"/>
          <w:rFonts w:ascii="Arial" w:hAnsi="Arial" w:cs="Arial"/>
          <w:sz w:val="24"/>
          <w:szCs w:val="24"/>
          <w:lang w:val="fr-BE"/>
        </w:rPr>
        <w:footnoteReference w:id="6"/>
      </w:r>
      <w:r w:rsidR="00A65992" w:rsidRPr="00212D31">
        <w:rPr>
          <w:rFonts w:ascii="Arial" w:hAnsi="Arial" w:cs="Arial"/>
          <w:sz w:val="24"/>
          <w:szCs w:val="24"/>
          <w:lang w:val="fr-BE"/>
        </w:rPr>
        <w:t>.</w:t>
      </w:r>
      <w:r w:rsidR="0045295C" w:rsidRPr="00212D31">
        <w:rPr>
          <w:rFonts w:ascii="Arial" w:hAnsi="Arial" w:cs="Arial"/>
          <w:sz w:val="24"/>
          <w:szCs w:val="24"/>
          <w:lang w:val="fr-BE"/>
        </w:rPr>
        <w:t xml:space="preserve"> </w:t>
      </w:r>
    </w:p>
    <w:p w14:paraId="4B2F6063" w14:textId="77777777" w:rsidR="00212D31" w:rsidRPr="00212D31" w:rsidRDefault="00212D31" w:rsidP="00212D31">
      <w:pPr>
        <w:spacing w:after="0" w:line="240" w:lineRule="auto"/>
        <w:jc w:val="both"/>
        <w:rPr>
          <w:rFonts w:ascii="Arial" w:hAnsi="Arial" w:cs="Arial"/>
          <w:sz w:val="24"/>
          <w:szCs w:val="24"/>
          <w:lang w:val="fr-BE"/>
        </w:rPr>
      </w:pPr>
    </w:p>
    <w:p w14:paraId="3E09EDC1" w14:textId="0856EE44" w:rsidR="008861BB" w:rsidRDefault="0045295C"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 xml:space="preserve">Par ailleurs, cette nécessité de respect des valeurs </w:t>
      </w:r>
      <w:r w:rsidR="0075289A" w:rsidRPr="00212D31">
        <w:rPr>
          <w:rFonts w:ascii="Arial" w:hAnsi="Arial" w:cs="Arial"/>
          <w:sz w:val="24"/>
          <w:szCs w:val="24"/>
          <w:lang w:val="fr-BE"/>
        </w:rPr>
        <w:t>défendues</w:t>
      </w:r>
      <w:r w:rsidRPr="00212D31">
        <w:rPr>
          <w:rFonts w:ascii="Arial" w:hAnsi="Arial" w:cs="Arial"/>
          <w:sz w:val="24"/>
          <w:szCs w:val="24"/>
          <w:lang w:val="fr-BE"/>
        </w:rPr>
        <w:t xml:space="preserve"> par l’Union</w:t>
      </w:r>
      <w:r w:rsidR="00A625ED" w:rsidRPr="00212D31">
        <w:rPr>
          <w:rFonts w:ascii="Arial" w:hAnsi="Arial" w:cs="Arial"/>
          <w:sz w:val="24"/>
          <w:szCs w:val="24"/>
          <w:lang w:val="fr-BE"/>
        </w:rPr>
        <w:t>, et notamment de l’État de droit,</w:t>
      </w:r>
      <w:r w:rsidRPr="00212D31">
        <w:rPr>
          <w:rFonts w:ascii="Arial" w:hAnsi="Arial" w:cs="Arial"/>
          <w:sz w:val="24"/>
          <w:szCs w:val="24"/>
          <w:lang w:val="fr-BE"/>
        </w:rPr>
        <w:t xml:space="preserve"> ne se limite pas uniquement aux </w:t>
      </w:r>
      <w:r w:rsidR="0075289A" w:rsidRPr="00212D31">
        <w:rPr>
          <w:rFonts w:ascii="Arial" w:hAnsi="Arial" w:cs="Arial"/>
          <w:sz w:val="24"/>
          <w:szCs w:val="24"/>
          <w:lang w:val="fr-BE"/>
        </w:rPr>
        <w:t xml:space="preserve">hypothèses d’adhésion, mais </w:t>
      </w:r>
      <w:r w:rsidR="00E06162" w:rsidRPr="00212D31">
        <w:rPr>
          <w:rFonts w:ascii="Arial" w:hAnsi="Arial" w:cs="Arial"/>
          <w:sz w:val="24"/>
          <w:szCs w:val="24"/>
          <w:lang w:val="fr-BE"/>
        </w:rPr>
        <w:t>concerne aussi</w:t>
      </w:r>
      <w:r w:rsidR="0075289A" w:rsidRPr="00212D31">
        <w:rPr>
          <w:rFonts w:ascii="Arial" w:hAnsi="Arial" w:cs="Arial"/>
          <w:sz w:val="24"/>
          <w:szCs w:val="24"/>
          <w:lang w:val="fr-BE"/>
        </w:rPr>
        <w:t xml:space="preserve"> </w:t>
      </w:r>
      <w:r w:rsidR="00E06162" w:rsidRPr="00212D31">
        <w:rPr>
          <w:rFonts w:ascii="Arial" w:hAnsi="Arial" w:cs="Arial"/>
          <w:sz w:val="24"/>
          <w:szCs w:val="24"/>
          <w:lang w:val="fr-BE"/>
        </w:rPr>
        <w:t>le</w:t>
      </w:r>
      <w:r w:rsidR="00CC36BC" w:rsidRPr="00212D31">
        <w:rPr>
          <w:rFonts w:ascii="Arial" w:hAnsi="Arial" w:cs="Arial"/>
          <w:sz w:val="24"/>
          <w:szCs w:val="24"/>
          <w:lang w:val="fr-BE"/>
        </w:rPr>
        <w:t xml:space="preserve"> droit dérivé et la politique extérieure de l’Union.</w:t>
      </w:r>
      <w:r w:rsidR="0075289A" w:rsidRPr="00212D31">
        <w:rPr>
          <w:rFonts w:ascii="Arial" w:hAnsi="Arial" w:cs="Arial"/>
          <w:sz w:val="24"/>
          <w:szCs w:val="24"/>
          <w:lang w:val="fr-BE"/>
        </w:rPr>
        <w:t xml:space="preserve"> </w:t>
      </w:r>
      <w:r w:rsidR="00A625ED" w:rsidRPr="00212D31">
        <w:rPr>
          <w:rFonts w:ascii="Arial" w:hAnsi="Arial" w:cs="Arial"/>
          <w:sz w:val="24"/>
          <w:szCs w:val="24"/>
          <w:lang w:val="fr-BE"/>
        </w:rPr>
        <w:t>En effet, en matière de PESC</w:t>
      </w:r>
      <w:r w:rsidR="008861BB" w:rsidRPr="00212D31">
        <w:rPr>
          <w:rStyle w:val="Appelnotedebasdep"/>
          <w:rFonts w:ascii="Arial" w:hAnsi="Arial" w:cs="Arial"/>
          <w:sz w:val="24"/>
          <w:szCs w:val="24"/>
          <w:lang w:val="fr-BE"/>
        </w:rPr>
        <w:footnoteReference w:id="7"/>
      </w:r>
      <w:r w:rsidR="00A625ED" w:rsidRPr="00212D31">
        <w:rPr>
          <w:rFonts w:ascii="Arial" w:hAnsi="Arial" w:cs="Arial"/>
          <w:sz w:val="24"/>
          <w:szCs w:val="24"/>
          <w:lang w:val="fr-BE"/>
        </w:rPr>
        <w:t>, l’article 11</w:t>
      </w:r>
      <w:r w:rsidR="00B760E1" w:rsidRPr="00212D31">
        <w:rPr>
          <w:rFonts w:ascii="Arial" w:hAnsi="Arial" w:cs="Arial"/>
          <w:sz w:val="24"/>
          <w:szCs w:val="24"/>
          <w:lang w:val="fr-BE"/>
        </w:rPr>
        <w:t>, premier paragraphe,</w:t>
      </w:r>
      <w:r w:rsidR="008861BB" w:rsidRPr="00212D31">
        <w:rPr>
          <w:rFonts w:ascii="Arial" w:hAnsi="Arial" w:cs="Arial"/>
          <w:sz w:val="24"/>
          <w:szCs w:val="24"/>
          <w:lang w:val="fr-BE"/>
        </w:rPr>
        <w:t xml:space="preserve"> du Traité sur l’Union établit que cette politique a comme objectif « </w:t>
      </w:r>
      <w:r w:rsidR="008861BB" w:rsidRPr="00212D31">
        <w:rPr>
          <w:rFonts w:ascii="Arial" w:hAnsi="Arial" w:cs="Arial"/>
          <w:i/>
          <w:sz w:val="24"/>
          <w:szCs w:val="24"/>
          <w:lang w:val="fr-BE"/>
        </w:rPr>
        <w:t>le développement et le renforcement de la démocratie et de l’état de droit, ainsi que le respect des droits de l’homme et des libertés fondamentales</w:t>
      </w:r>
      <w:r w:rsidR="008861BB" w:rsidRPr="00212D31">
        <w:rPr>
          <w:rFonts w:ascii="Arial" w:hAnsi="Arial" w:cs="Arial"/>
          <w:sz w:val="24"/>
          <w:szCs w:val="24"/>
          <w:lang w:val="fr-BE"/>
        </w:rPr>
        <w:t> »</w:t>
      </w:r>
      <w:r w:rsidR="008861BB" w:rsidRPr="00212D31">
        <w:rPr>
          <w:rStyle w:val="Appelnotedebasdep"/>
          <w:rFonts w:ascii="Arial" w:hAnsi="Arial" w:cs="Arial"/>
          <w:sz w:val="24"/>
          <w:szCs w:val="24"/>
          <w:lang w:val="fr-BE"/>
        </w:rPr>
        <w:footnoteReference w:id="8"/>
      </w:r>
      <w:r w:rsidR="008861BB" w:rsidRPr="00212D31">
        <w:rPr>
          <w:rFonts w:ascii="Arial" w:hAnsi="Arial" w:cs="Arial"/>
          <w:sz w:val="24"/>
          <w:szCs w:val="24"/>
          <w:lang w:val="fr-BE"/>
        </w:rPr>
        <w:t xml:space="preserve">. </w:t>
      </w:r>
      <w:r w:rsidR="00E06162" w:rsidRPr="00212D31">
        <w:rPr>
          <w:rFonts w:ascii="Arial" w:hAnsi="Arial" w:cs="Arial"/>
          <w:sz w:val="24"/>
          <w:szCs w:val="24"/>
          <w:lang w:val="fr-BE"/>
        </w:rPr>
        <w:t>Les valeurs protégées par l’Union s’imposent aussi dans</w:t>
      </w:r>
      <w:r w:rsidR="00CC36BC" w:rsidRPr="00212D31">
        <w:rPr>
          <w:rFonts w:ascii="Arial" w:hAnsi="Arial" w:cs="Arial"/>
          <w:sz w:val="24"/>
          <w:szCs w:val="24"/>
          <w:lang w:val="fr-BE"/>
        </w:rPr>
        <w:t xml:space="preserve"> les relations commerciales</w:t>
      </w:r>
      <w:r w:rsidR="00E06162" w:rsidRPr="00212D31">
        <w:rPr>
          <w:rFonts w:ascii="Arial" w:hAnsi="Arial" w:cs="Arial"/>
          <w:sz w:val="24"/>
          <w:szCs w:val="24"/>
          <w:lang w:val="fr-BE"/>
        </w:rPr>
        <w:t xml:space="preserve"> qu’elle entretient avec des États tiers</w:t>
      </w:r>
      <w:r w:rsidR="00CC36BC" w:rsidRPr="00212D31">
        <w:rPr>
          <w:rFonts w:ascii="Arial" w:hAnsi="Arial" w:cs="Arial"/>
          <w:sz w:val="24"/>
          <w:szCs w:val="24"/>
          <w:lang w:val="fr-BE"/>
        </w:rPr>
        <w:t> ; le respect des principes de l’</w:t>
      </w:r>
      <w:r w:rsidR="00E06162" w:rsidRPr="00212D31">
        <w:rPr>
          <w:rFonts w:ascii="Arial" w:hAnsi="Arial" w:cs="Arial"/>
          <w:sz w:val="24"/>
          <w:szCs w:val="24"/>
          <w:lang w:val="fr-BE"/>
        </w:rPr>
        <w:t>É</w:t>
      </w:r>
      <w:r w:rsidR="00CC36BC" w:rsidRPr="00212D31">
        <w:rPr>
          <w:rFonts w:ascii="Arial" w:hAnsi="Arial" w:cs="Arial"/>
          <w:sz w:val="24"/>
          <w:szCs w:val="24"/>
          <w:lang w:val="fr-BE"/>
        </w:rPr>
        <w:t>tat de droit es</w:t>
      </w:r>
      <w:r w:rsidR="00190E10" w:rsidRPr="00212D31">
        <w:rPr>
          <w:rFonts w:ascii="Arial" w:hAnsi="Arial" w:cs="Arial"/>
          <w:sz w:val="24"/>
          <w:szCs w:val="24"/>
          <w:lang w:val="fr-BE"/>
        </w:rPr>
        <w:t>t une condition qui</w:t>
      </w:r>
      <w:r w:rsidR="00CC36BC" w:rsidRPr="00212D31">
        <w:rPr>
          <w:rFonts w:ascii="Arial" w:hAnsi="Arial" w:cs="Arial"/>
          <w:sz w:val="24"/>
          <w:szCs w:val="24"/>
          <w:lang w:val="fr-BE"/>
        </w:rPr>
        <w:t>, si pas respectée, peut empêcher l’ouverture de négociation d’un accord, la reprise d’une négociation interrompue, ou même la finalisation d’un accord</w:t>
      </w:r>
      <w:r w:rsidR="00CC36BC" w:rsidRPr="00212D31">
        <w:rPr>
          <w:rStyle w:val="Appelnotedebasdep"/>
          <w:rFonts w:ascii="Arial" w:hAnsi="Arial" w:cs="Arial"/>
          <w:sz w:val="24"/>
          <w:szCs w:val="24"/>
          <w:lang w:val="fr-BE"/>
        </w:rPr>
        <w:footnoteReference w:id="9"/>
      </w:r>
      <w:r w:rsidR="00CC36BC" w:rsidRPr="00212D31">
        <w:rPr>
          <w:rFonts w:ascii="Arial" w:hAnsi="Arial" w:cs="Arial"/>
          <w:sz w:val="24"/>
          <w:szCs w:val="24"/>
          <w:lang w:val="fr-BE"/>
        </w:rPr>
        <w:t>.</w:t>
      </w:r>
    </w:p>
    <w:p w14:paraId="7391A41B" w14:textId="77777777" w:rsidR="00212D31" w:rsidRPr="00212D31" w:rsidRDefault="00212D31" w:rsidP="00212D31">
      <w:pPr>
        <w:spacing w:after="0" w:line="240" w:lineRule="auto"/>
        <w:jc w:val="both"/>
        <w:rPr>
          <w:rFonts w:ascii="Arial" w:hAnsi="Arial" w:cs="Arial"/>
          <w:sz w:val="24"/>
          <w:szCs w:val="24"/>
          <w:lang w:val="fr-BE"/>
        </w:rPr>
      </w:pPr>
    </w:p>
    <w:p w14:paraId="7DAC8FB3" w14:textId="2202EE23" w:rsidR="00EE56F0" w:rsidRPr="00212D31" w:rsidRDefault="008063AF"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Si l’on prend en considération l’ensemble des références aux valeurs fondamentales de l’Union européenne contenues tant dans les préambules du traité sur l’Union européenne et de la Charte des droits fondamentaux que dans le titre premier du traité sur l’Union européenne, force est de constater qu’en ce qui concerne l’</w:t>
      </w:r>
      <w:r w:rsidR="00C86680" w:rsidRPr="00212D31">
        <w:rPr>
          <w:rFonts w:ascii="Arial" w:hAnsi="Arial" w:cs="Arial"/>
          <w:sz w:val="24"/>
          <w:szCs w:val="24"/>
          <w:lang w:val="fr-BE"/>
        </w:rPr>
        <w:t>É</w:t>
      </w:r>
      <w:r w:rsidRPr="00212D31">
        <w:rPr>
          <w:rFonts w:ascii="Arial" w:hAnsi="Arial" w:cs="Arial"/>
          <w:sz w:val="24"/>
          <w:szCs w:val="24"/>
          <w:lang w:val="fr-BE"/>
        </w:rPr>
        <w:t>tat de droit, les rédacteurs se sont attachés à un ancrage explicite et répété du principe dans les textes, mais qu’ils se sont abstenus de se prononcer plus sur son contenu</w:t>
      </w:r>
      <w:r w:rsidR="00751ADE" w:rsidRPr="00212D31">
        <w:rPr>
          <w:rFonts w:ascii="Arial" w:hAnsi="Arial" w:cs="Arial"/>
          <w:sz w:val="24"/>
          <w:szCs w:val="24"/>
          <w:lang w:val="fr-BE"/>
        </w:rPr>
        <w:t xml:space="preserve">. </w:t>
      </w:r>
      <w:r w:rsidRPr="00212D31">
        <w:rPr>
          <w:rFonts w:ascii="Arial" w:hAnsi="Arial" w:cs="Arial"/>
          <w:sz w:val="24"/>
          <w:szCs w:val="24"/>
          <w:lang w:val="fr-BE"/>
        </w:rPr>
        <w:t>Ainsi, le principe de l’</w:t>
      </w:r>
      <w:r w:rsidR="00C86680" w:rsidRPr="00212D31">
        <w:rPr>
          <w:rFonts w:ascii="Arial" w:hAnsi="Arial" w:cs="Arial"/>
          <w:sz w:val="24"/>
          <w:szCs w:val="24"/>
          <w:lang w:val="fr-BE"/>
        </w:rPr>
        <w:t>É</w:t>
      </w:r>
      <w:r w:rsidRPr="00212D31">
        <w:rPr>
          <w:rFonts w:ascii="Arial" w:hAnsi="Arial" w:cs="Arial"/>
          <w:sz w:val="24"/>
          <w:szCs w:val="24"/>
          <w:lang w:val="fr-BE"/>
        </w:rPr>
        <w:t>tat de droit</w:t>
      </w:r>
      <w:r w:rsidR="00C16B64" w:rsidRPr="00212D31">
        <w:rPr>
          <w:rFonts w:ascii="Arial" w:hAnsi="Arial" w:cs="Arial"/>
          <w:sz w:val="24"/>
          <w:szCs w:val="24"/>
          <w:lang w:val="fr-BE"/>
        </w:rPr>
        <w:t xml:space="preserve">, qui figure depuis le traité de Maastricht en bonne place parmi les valeurs fondamentales de l’Union européenne, pourrait-il perdre de sa substance du fait qu’il est mentionné parmi d’autres valeurs </w:t>
      </w:r>
      <w:r w:rsidR="007302B0" w:rsidRPr="00212D31">
        <w:rPr>
          <w:rFonts w:ascii="Arial" w:hAnsi="Arial" w:cs="Arial"/>
          <w:sz w:val="24"/>
          <w:szCs w:val="24"/>
          <w:lang w:val="fr-BE"/>
        </w:rPr>
        <w:t>fondamentales, lesquelles, dans</w:t>
      </w:r>
      <w:r w:rsidR="00C16B64" w:rsidRPr="00212D31">
        <w:rPr>
          <w:rFonts w:ascii="Arial" w:hAnsi="Arial" w:cs="Arial"/>
          <w:sz w:val="24"/>
          <w:szCs w:val="24"/>
          <w:lang w:val="fr-BE"/>
        </w:rPr>
        <w:t xml:space="preserve"> l’approche dogmatique traditionnelle, </w:t>
      </w:r>
      <w:r w:rsidR="007152CF" w:rsidRPr="00212D31">
        <w:rPr>
          <w:rFonts w:ascii="Arial" w:hAnsi="Arial" w:cs="Arial"/>
          <w:sz w:val="24"/>
          <w:szCs w:val="24"/>
          <w:lang w:val="fr-BE"/>
        </w:rPr>
        <w:t xml:space="preserve">sont </w:t>
      </w:r>
      <w:r w:rsidR="00E620FF" w:rsidRPr="00212D31">
        <w:rPr>
          <w:rFonts w:ascii="Arial" w:hAnsi="Arial" w:cs="Arial"/>
          <w:sz w:val="24"/>
          <w:szCs w:val="24"/>
          <w:lang w:val="fr-BE"/>
        </w:rPr>
        <w:t xml:space="preserve">pourtant </w:t>
      </w:r>
      <w:r w:rsidR="007152CF" w:rsidRPr="00212D31">
        <w:rPr>
          <w:rFonts w:ascii="Arial" w:hAnsi="Arial" w:cs="Arial"/>
          <w:sz w:val="24"/>
          <w:szCs w:val="24"/>
          <w:lang w:val="fr-BE"/>
        </w:rPr>
        <w:t xml:space="preserve">comprises dans </w:t>
      </w:r>
      <w:r w:rsidR="007152CF" w:rsidRPr="00212D31">
        <w:rPr>
          <w:rFonts w:ascii="Arial" w:hAnsi="Arial" w:cs="Arial"/>
          <w:sz w:val="24"/>
          <w:szCs w:val="24"/>
          <w:lang w:val="fr-BE"/>
        </w:rPr>
        <w:lastRenderedPageBreak/>
        <w:t>le con</w:t>
      </w:r>
      <w:r w:rsidR="007302B0" w:rsidRPr="00212D31">
        <w:rPr>
          <w:rFonts w:ascii="Arial" w:hAnsi="Arial" w:cs="Arial"/>
          <w:sz w:val="24"/>
          <w:szCs w:val="24"/>
          <w:lang w:val="fr-BE"/>
        </w:rPr>
        <w:t>c</w:t>
      </w:r>
      <w:r w:rsidR="007152CF" w:rsidRPr="00212D31">
        <w:rPr>
          <w:rFonts w:ascii="Arial" w:hAnsi="Arial" w:cs="Arial"/>
          <w:sz w:val="24"/>
          <w:szCs w:val="24"/>
          <w:lang w:val="fr-BE"/>
        </w:rPr>
        <w:t>ept d’</w:t>
      </w:r>
      <w:r w:rsidR="00C86680" w:rsidRPr="00212D31">
        <w:rPr>
          <w:rFonts w:ascii="Arial" w:hAnsi="Arial" w:cs="Arial"/>
          <w:sz w:val="24"/>
          <w:szCs w:val="24"/>
          <w:lang w:val="fr-BE"/>
        </w:rPr>
        <w:t>É</w:t>
      </w:r>
      <w:r w:rsidR="007152CF" w:rsidRPr="00212D31">
        <w:rPr>
          <w:rFonts w:ascii="Arial" w:hAnsi="Arial" w:cs="Arial"/>
          <w:sz w:val="24"/>
          <w:szCs w:val="24"/>
          <w:lang w:val="fr-BE"/>
        </w:rPr>
        <w:t>tat de droit</w:t>
      </w:r>
      <w:r w:rsidR="002053B6" w:rsidRPr="00212D31">
        <w:rPr>
          <w:rFonts w:ascii="Arial" w:hAnsi="Arial" w:cs="Arial"/>
          <w:sz w:val="24"/>
          <w:szCs w:val="24"/>
          <w:lang w:val="fr-BE"/>
        </w:rPr>
        <w:t xml:space="preserve"> ? </w:t>
      </w:r>
      <w:r w:rsidR="007152CF" w:rsidRPr="00212D31">
        <w:rPr>
          <w:rFonts w:ascii="Arial" w:hAnsi="Arial" w:cs="Arial"/>
          <w:sz w:val="24"/>
          <w:szCs w:val="24"/>
          <w:lang w:val="fr-BE"/>
        </w:rPr>
        <w:t xml:space="preserve">Ceci vaut tout particulièrement pour la protection des droits de l’homme et des libertés fondamentales ainsi </w:t>
      </w:r>
      <w:r w:rsidR="007302B0" w:rsidRPr="00212D31">
        <w:rPr>
          <w:rFonts w:ascii="Arial" w:hAnsi="Arial" w:cs="Arial"/>
          <w:sz w:val="24"/>
          <w:szCs w:val="24"/>
          <w:lang w:val="fr-BE"/>
        </w:rPr>
        <w:t xml:space="preserve">que </w:t>
      </w:r>
      <w:r w:rsidR="007152CF" w:rsidRPr="00212D31">
        <w:rPr>
          <w:rFonts w:ascii="Arial" w:hAnsi="Arial" w:cs="Arial"/>
          <w:sz w:val="24"/>
          <w:szCs w:val="24"/>
          <w:lang w:val="fr-BE"/>
        </w:rPr>
        <w:t>pour plusieurs des traits essentiels</w:t>
      </w:r>
      <w:r w:rsidR="00424C5C" w:rsidRPr="00212D31">
        <w:rPr>
          <w:rFonts w:ascii="Arial" w:hAnsi="Arial" w:cs="Arial"/>
          <w:sz w:val="24"/>
          <w:szCs w:val="24"/>
          <w:lang w:val="fr-BE"/>
        </w:rPr>
        <w:t>,</w:t>
      </w:r>
      <w:r w:rsidR="007152CF" w:rsidRPr="00212D31">
        <w:rPr>
          <w:rFonts w:ascii="Arial" w:hAnsi="Arial" w:cs="Arial"/>
          <w:sz w:val="24"/>
          <w:szCs w:val="24"/>
          <w:lang w:val="fr-BE"/>
        </w:rPr>
        <w:t xml:space="preserve"> </w:t>
      </w:r>
      <w:r w:rsidR="00424C5C" w:rsidRPr="00212D31">
        <w:rPr>
          <w:rFonts w:ascii="Arial" w:hAnsi="Arial" w:cs="Arial"/>
          <w:sz w:val="24"/>
          <w:szCs w:val="24"/>
          <w:lang w:val="fr-BE"/>
        </w:rPr>
        <w:t>mentionnés dans la deuxième partie de l’article 2 du traité sur l’Union européenne, de l’idéal de société partagé</w:t>
      </w:r>
      <w:r w:rsidR="00B005EF" w:rsidRPr="00212D31">
        <w:rPr>
          <w:rFonts w:ascii="Arial" w:hAnsi="Arial" w:cs="Arial"/>
          <w:sz w:val="24"/>
          <w:szCs w:val="24"/>
          <w:lang w:val="fr-BE"/>
        </w:rPr>
        <w:t xml:space="preserve"> </w:t>
      </w:r>
      <w:r w:rsidR="00B760E1" w:rsidRPr="00212D31">
        <w:rPr>
          <w:rFonts w:ascii="Arial" w:hAnsi="Arial" w:cs="Arial"/>
          <w:sz w:val="24"/>
          <w:szCs w:val="24"/>
          <w:lang w:val="fr-BE"/>
        </w:rPr>
        <w:t>par</w:t>
      </w:r>
      <w:r w:rsidR="00424C5C" w:rsidRPr="00212D31">
        <w:rPr>
          <w:rFonts w:ascii="Arial" w:hAnsi="Arial" w:cs="Arial"/>
          <w:sz w:val="24"/>
          <w:szCs w:val="24"/>
          <w:lang w:val="fr-BE"/>
        </w:rPr>
        <w:t xml:space="preserve"> l’Union et ses </w:t>
      </w:r>
      <w:r w:rsidR="00C86680" w:rsidRPr="00212D31">
        <w:rPr>
          <w:rFonts w:ascii="Arial" w:hAnsi="Arial" w:cs="Arial"/>
          <w:sz w:val="24"/>
          <w:szCs w:val="24"/>
          <w:lang w:val="fr-BE"/>
        </w:rPr>
        <w:t>É</w:t>
      </w:r>
      <w:r w:rsidR="00424C5C" w:rsidRPr="00212D31">
        <w:rPr>
          <w:rFonts w:ascii="Arial" w:hAnsi="Arial" w:cs="Arial"/>
          <w:sz w:val="24"/>
          <w:szCs w:val="24"/>
          <w:lang w:val="fr-BE"/>
        </w:rPr>
        <w:t>tats membres</w:t>
      </w:r>
      <w:r w:rsidR="007724E1" w:rsidRPr="00212D31">
        <w:rPr>
          <w:rFonts w:ascii="Arial" w:hAnsi="Arial" w:cs="Arial"/>
          <w:sz w:val="24"/>
          <w:szCs w:val="24"/>
          <w:lang w:val="fr-BE"/>
        </w:rPr>
        <w:t xml:space="preserve">. </w:t>
      </w:r>
      <w:r w:rsidR="007302B0" w:rsidRPr="00212D31">
        <w:rPr>
          <w:rFonts w:ascii="Arial" w:hAnsi="Arial" w:cs="Arial"/>
          <w:sz w:val="24"/>
          <w:szCs w:val="24"/>
          <w:lang w:val="fr-BE"/>
        </w:rPr>
        <w:t>L’on ne saurait toutefois trop exagérer la portée de ces</w:t>
      </w:r>
      <w:r w:rsidR="007724E1" w:rsidRPr="00212D31">
        <w:rPr>
          <w:rFonts w:ascii="Arial" w:hAnsi="Arial" w:cs="Arial"/>
          <w:sz w:val="24"/>
          <w:szCs w:val="24"/>
          <w:lang w:val="fr-BE"/>
        </w:rPr>
        <w:t xml:space="preserve"> </w:t>
      </w:r>
      <w:r w:rsidR="00506BA4" w:rsidRPr="00212D31">
        <w:rPr>
          <w:rFonts w:ascii="Arial" w:hAnsi="Arial" w:cs="Arial"/>
          <w:sz w:val="24"/>
          <w:szCs w:val="24"/>
          <w:lang w:val="fr-BE"/>
        </w:rPr>
        <w:t>incohérences</w:t>
      </w:r>
      <w:r w:rsidR="007302B0" w:rsidRPr="00212D31">
        <w:rPr>
          <w:rFonts w:ascii="Arial" w:hAnsi="Arial" w:cs="Arial"/>
          <w:sz w:val="24"/>
          <w:szCs w:val="24"/>
          <w:lang w:val="fr-BE"/>
        </w:rPr>
        <w:t xml:space="preserve"> et de ces</w:t>
      </w:r>
      <w:r w:rsidR="00CE0372" w:rsidRPr="00212D31">
        <w:rPr>
          <w:rFonts w:ascii="Arial" w:hAnsi="Arial" w:cs="Arial"/>
          <w:sz w:val="24"/>
          <w:szCs w:val="24"/>
          <w:lang w:val="fr-BE"/>
        </w:rPr>
        <w:t xml:space="preserve"> </w:t>
      </w:r>
      <w:r w:rsidR="00506BA4" w:rsidRPr="00212D31">
        <w:rPr>
          <w:rFonts w:ascii="Arial" w:hAnsi="Arial" w:cs="Arial"/>
          <w:sz w:val="24"/>
          <w:szCs w:val="24"/>
          <w:lang w:val="fr-BE"/>
        </w:rPr>
        <w:t>recoupements</w:t>
      </w:r>
      <w:r w:rsidR="007724E1" w:rsidRPr="00212D31">
        <w:rPr>
          <w:rFonts w:ascii="Arial" w:hAnsi="Arial" w:cs="Arial"/>
          <w:sz w:val="24"/>
          <w:szCs w:val="24"/>
          <w:lang w:val="fr-BE"/>
        </w:rPr>
        <w:t xml:space="preserve">, </w:t>
      </w:r>
      <w:r w:rsidR="00E620FF" w:rsidRPr="00212D31">
        <w:rPr>
          <w:rFonts w:ascii="Arial" w:hAnsi="Arial" w:cs="Arial"/>
          <w:sz w:val="24"/>
          <w:szCs w:val="24"/>
          <w:lang w:val="fr-BE"/>
        </w:rPr>
        <w:t>si l’on garde à l‘esprit que le préambule et les dispositions introductives du traité sur l’Union européenne servent avant tout une fonction solennelle. L’évocation répétée d’un grand nombre de valeurs fondamentales poursuit l’objectif de souligner que l’Union est une communauté de valeurs et qu’elle doit le rester</w:t>
      </w:r>
      <w:r w:rsidR="00CE0372" w:rsidRPr="00212D31">
        <w:rPr>
          <w:rFonts w:ascii="Arial" w:hAnsi="Arial" w:cs="Arial"/>
          <w:sz w:val="24"/>
          <w:szCs w:val="24"/>
          <w:lang w:val="fr-BE"/>
        </w:rPr>
        <w:t xml:space="preserve">. </w:t>
      </w:r>
      <w:r w:rsidR="001A5A2D" w:rsidRPr="00212D31">
        <w:rPr>
          <w:rFonts w:ascii="Arial" w:hAnsi="Arial" w:cs="Arial"/>
          <w:sz w:val="24"/>
          <w:szCs w:val="24"/>
          <w:lang w:val="fr-BE"/>
        </w:rPr>
        <w:t>Par ailleurs, la notion</w:t>
      </w:r>
      <w:r w:rsidR="00EA28ED" w:rsidRPr="00212D31">
        <w:rPr>
          <w:rFonts w:ascii="Arial" w:hAnsi="Arial" w:cs="Arial"/>
          <w:sz w:val="24"/>
          <w:szCs w:val="24"/>
          <w:lang w:val="fr-BE"/>
        </w:rPr>
        <w:t xml:space="preserve"> </w:t>
      </w:r>
      <w:r w:rsidR="001A5A2D" w:rsidRPr="00212D31">
        <w:rPr>
          <w:rFonts w:ascii="Arial" w:hAnsi="Arial" w:cs="Arial"/>
          <w:sz w:val="24"/>
          <w:szCs w:val="24"/>
          <w:lang w:val="fr-BE"/>
        </w:rPr>
        <w:t>d</w:t>
      </w:r>
      <w:r w:rsidR="00EA28ED" w:rsidRPr="00212D31">
        <w:rPr>
          <w:rFonts w:ascii="Arial" w:hAnsi="Arial" w:cs="Arial"/>
          <w:sz w:val="24"/>
          <w:szCs w:val="24"/>
          <w:lang w:val="fr-BE"/>
        </w:rPr>
        <w:t>’</w:t>
      </w:r>
      <w:r w:rsidR="00C86680" w:rsidRPr="00212D31">
        <w:rPr>
          <w:rFonts w:ascii="Arial" w:hAnsi="Arial" w:cs="Arial"/>
          <w:sz w:val="24"/>
          <w:szCs w:val="24"/>
          <w:lang w:val="fr-BE"/>
        </w:rPr>
        <w:t>É</w:t>
      </w:r>
      <w:r w:rsidR="00EA28ED" w:rsidRPr="00212D31">
        <w:rPr>
          <w:rFonts w:ascii="Arial" w:hAnsi="Arial" w:cs="Arial"/>
          <w:sz w:val="24"/>
          <w:szCs w:val="24"/>
          <w:lang w:val="fr-BE"/>
        </w:rPr>
        <w:t>tat de droit</w:t>
      </w:r>
      <w:r w:rsidR="001A5A2D" w:rsidRPr="00212D31">
        <w:rPr>
          <w:rFonts w:ascii="Arial" w:hAnsi="Arial" w:cs="Arial"/>
          <w:sz w:val="24"/>
          <w:szCs w:val="24"/>
          <w:lang w:val="fr-BE"/>
        </w:rPr>
        <w:t xml:space="preserve"> dans l’Union européenne à laquelle nous nous réfèrerons dans les raisonnements qui suivent, devra être comprise</w:t>
      </w:r>
      <w:r w:rsidR="00EA28ED" w:rsidRPr="00212D31">
        <w:rPr>
          <w:rFonts w:ascii="Arial" w:hAnsi="Arial" w:cs="Arial"/>
          <w:sz w:val="24"/>
          <w:szCs w:val="24"/>
          <w:lang w:val="fr-BE"/>
        </w:rPr>
        <w:t xml:space="preserve"> dans son acception large en tant que principe structurant et essentiel de l’</w:t>
      </w:r>
      <w:r w:rsidR="00C86680" w:rsidRPr="00212D31">
        <w:rPr>
          <w:rFonts w:ascii="Arial" w:hAnsi="Arial" w:cs="Arial"/>
          <w:sz w:val="24"/>
          <w:szCs w:val="24"/>
          <w:lang w:val="fr-BE"/>
        </w:rPr>
        <w:t>É</w:t>
      </w:r>
      <w:r w:rsidR="00EA28ED" w:rsidRPr="00212D31">
        <w:rPr>
          <w:rFonts w:ascii="Arial" w:hAnsi="Arial" w:cs="Arial"/>
          <w:sz w:val="24"/>
          <w:szCs w:val="24"/>
          <w:lang w:val="fr-BE"/>
        </w:rPr>
        <w:t>tat moderne; principe qui doit</w:t>
      </w:r>
      <w:r w:rsidR="001A5A2D" w:rsidRPr="00212D31">
        <w:rPr>
          <w:rFonts w:ascii="Arial" w:hAnsi="Arial" w:cs="Arial"/>
          <w:sz w:val="24"/>
          <w:szCs w:val="24"/>
          <w:lang w:val="fr-BE"/>
        </w:rPr>
        <w:t>,</w:t>
      </w:r>
      <w:r w:rsidR="00EA28ED" w:rsidRPr="00212D31">
        <w:rPr>
          <w:rFonts w:ascii="Arial" w:hAnsi="Arial" w:cs="Arial"/>
          <w:sz w:val="24"/>
          <w:szCs w:val="24"/>
          <w:lang w:val="fr-BE"/>
        </w:rPr>
        <w:t xml:space="preserve"> bien sûr</w:t>
      </w:r>
      <w:r w:rsidR="001A5A2D" w:rsidRPr="00212D31">
        <w:rPr>
          <w:rFonts w:ascii="Arial" w:hAnsi="Arial" w:cs="Arial"/>
          <w:sz w:val="24"/>
          <w:szCs w:val="24"/>
          <w:lang w:val="fr-BE"/>
        </w:rPr>
        <w:t>,</w:t>
      </w:r>
      <w:r w:rsidR="00EA28ED" w:rsidRPr="00212D31">
        <w:rPr>
          <w:rFonts w:ascii="Arial" w:hAnsi="Arial" w:cs="Arial"/>
          <w:sz w:val="24"/>
          <w:szCs w:val="24"/>
          <w:lang w:val="fr-BE"/>
        </w:rPr>
        <w:t xml:space="preserve"> tenir compte des particularités d’une organisation supranationale telle que l’Union européenne</w:t>
      </w:r>
      <w:r w:rsidR="0048048E" w:rsidRPr="00212D31">
        <w:rPr>
          <w:rFonts w:ascii="Arial" w:hAnsi="Arial" w:cs="Arial"/>
          <w:sz w:val="24"/>
          <w:szCs w:val="24"/>
          <w:lang w:val="fr-BE"/>
        </w:rPr>
        <w:t>.</w:t>
      </w:r>
    </w:p>
    <w:p w14:paraId="750D584E" w14:textId="77777777" w:rsidR="00F61192" w:rsidRPr="00212D31" w:rsidRDefault="00F61192" w:rsidP="00212D31">
      <w:pPr>
        <w:spacing w:after="0" w:line="240" w:lineRule="auto"/>
        <w:jc w:val="both"/>
        <w:rPr>
          <w:rFonts w:ascii="Arial" w:hAnsi="Arial" w:cs="Arial"/>
          <w:b/>
          <w:sz w:val="24"/>
          <w:szCs w:val="24"/>
          <w:lang w:val="fr-BE"/>
        </w:rPr>
      </w:pPr>
    </w:p>
    <w:p w14:paraId="6011D19E" w14:textId="0D25B358" w:rsidR="00EE56F0" w:rsidRPr="00212D31" w:rsidRDefault="00EE56F0" w:rsidP="00212D31">
      <w:pPr>
        <w:spacing w:after="0" w:line="240" w:lineRule="auto"/>
        <w:jc w:val="both"/>
        <w:rPr>
          <w:rFonts w:ascii="Arial" w:hAnsi="Arial" w:cs="Arial"/>
          <w:color w:val="C00000"/>
          <w:sz w:val="28"/>
          <w:szCs w:val="28"/>
          <w:lang w:val="fr-BE"/>
        </w:rPr>
      </w:pPr>
      <w:r w:rsidRPr="00212D31">
        <w:rPr>
          <w:rFonts w:ascii="Arial" w:hAnsi="Arial" w:cs="Arial"/>
          <w:b/>
          <w:color w:val="C00000"/>
          <w:sz w:val="28"/>
          <w:szCs w:val="28"/>
          <w:lang w:val="fr-BE"/>
        </w:rPr>
        <w:t xml:space="preserve">II. </w:t>
      </w:r>
      <w:r w:rsidR="00D5399E" w:rsidRPr="00212D31">
        <w:rPr>
          <w:rFonts w:ascii="Arial" w:hAnsi="Arial" w:cs="Arial"/>
          <w:b/>
          <w:color w:val="C00000"/>
          <w:sz w:val="28"/>
          <w:szCs w:val="28"/>
          <w:lang w:val="fr-BE"/>
        </w:rPr>
        <w:t>Le concept de l’</w:t>
      </w:r>
      <w:r w:rsidR="00C97CA0" w:rsidRPr="00212D31">
        <w:rPr>
          <w:rFonts w:ascii="Arial" w:hAnsi="Arial" w:cs="Arial"/>
          <w:b/>
          <w:color w:val="C00000"/>
          <w:sz w:val="28"/>
          <w:szCs w:val="28"/>
          <w:lang w:val="fr-BE"/>
        </w:rPr>
        <w:t>État</w:t>
      </w:r>
      <w:r w:rsidR="00D5399E" w:rsidRPr="00212D31">
        <w:rPr>
          <w:rFonts w:ascii="Arial" w:hAnsi="Arial" w:cs="Arial"/>
          <w:b/>
          <w:color w:val="C00000"/>
          <w:sz w:val="28"/>
          <w:szCs w:val="28"/>
          <w:lang w:val="fr-BE"/>
        </w:rPr>
        <w:t xml:space="preserve"> de droit dans l</w:t>
      </w:r>
      <w:r w:rsidR="00965B2A" w:rsidRPr="00212D31">
        <w:rPr>
          <w:rFonts w:ascii="Arial" w:hAnsi="Arial" w:cs="Arial"/>
          <w:b/>
          <w:color w:val="C00000"/>
          <w:sz w:val="28"/>
          <w:szCs w:val="28"/>
          <w:lang w:val="fr-BE"/>
        </w:rPr>
        <w:t>a</w:t>
      </w:r>
      <w:r w:rsidR="00D5399E" w:rsidRPr="00212D31">
        <w:rPr>
          <w:rFonts w:ascii="Arial" w:hAnsi="Arial" w:cs="Arial"/>
          <w:b/>
          <w:color w:val="C00000"/>
          <w:sz w:val="28"/>
          <w:szCs w:val="28"/>
          <w:lang w:val="fr-BE"/>
        </w:rPr>
        <w:t xml:space="preserve"> d</w:t>
      </w:r>
      <w:r w:rsidR="00965B2A" w:rsidRPr="00212D31">
        <w:rPr>
          <w:rFonts w:ascii="Arial" w:hAnsi="Arial" w:cs="Arial"/>
          <w:b/>
          <w:color w:val="C00000"/>
          <w:sz w:val="28"/>
          <w:szCs w:val="28"/>
          <w:lang w:val="fr-BE"/>
        </w:rPr>
        <w:t>octrine publiciste</w:t>
      </w:r>
      <w:r w:rsidR="00D5399E" w:rsidRPr="00212D31">
        <w:rPr>
          <w:rFonts w:ascii="Arial" w:hAnsi="Arial" w:cs="Arial"/>
          <w:b/>
          <w:color w:val="C00000"/>
          <w:sz w:val="28"/>
          <w:szCs w:val="28"/>
          <w:lang w:val="fr-BE"/>
        </w:rPr>
        <w:t xml:space="preserve"> moderne</w:t>
      </w:r>
    </w:p>
    <w:p w14:paraId="744A82A3" w14:textId="77777777" w:rsidR="00212D31" w:rsidRDefault="00212D31" w:rsidP="00212D31">
      <w:pPr>
        <w:spacing w:after="0" w:line="240" w:lineRule="auto"/>
        <w:jc w:val="both"/>
        <w:rPr>
          <w:rFonts w:ascii="Arial" w:hAnsi="Arial" w:cs="Arial"/>
          <w:sz w:val="24"/>
          <w:szCs w:val="24"/>
          <w:lang w:val="fr-BE"/>
        </w:rPr>
      </w:pPr>
    </w:p>
    <w:p w14:paraId="5C2BE6C7" w14:textId="7A5DE8DE" w:rsidR="009D330F" w:rsidRDefault="00965B2A" w:rsidP="00212D31">
      <w:pPr>
        <w:spacing w:after="0" w:line="240" w:lineRule="auto"/>
        <w:jc w:val="both"/>
        <w:rPr>
          <w:rFonts w:ascii="Arial" w:hAnsi="Arial" w:cs="Arial"/>
          <w:sz w:val="24"/>
          <w:szCs w:val="24"/>
          <w:lang w:val="fr-BE"/>
        </w:rPr>
      </w:pPr>
      <w:r w:rsidRPr="00212D31">
        <w:rPr>
          <w:rFonts w:ascii="Arial" w:hAnsi="Arial" w:cs="Arial"/>
          <w:b/>
          <w:i/>
          <w:color w:val="C00000"/>
          <w:sz w:val="28"/>
          <w:szCs w:val="28"/>
          <w:lang w:val="fr-BE"/>
        </w:rPr>
        <w:t>S</w:t>
      </w:r>
      <w:r w:rsidRPr="00212D31">
        <w:rPr>
          <w:rFonts w:ascii="Arial" w:hAnsi="Arial" w:cs="Arial"/>
          <w:sz w:val="24"/>
          <w:szCs w:val="24"/>
          <w:lang w:val="fr-BE"/>
        </w:rPr>
        <w:t>i l’émergence de la</w:t>
      </w:r>
      <w:r w:rsidR="00912EFE" w:rsidRPr="00212D31">
        <w:rPr>
          <w:rFonts w:ascii="Arial" w:hAnsi="Arial" w:cs="Arial"/>
          <w:sz w:val="24"/>
          <w:szCs w:val="24"/>
          <w:lang w:val="fr-BE"/>
        </w:rPr>
        <w:t xml:space="preserve"> notion d’état de droit est un phénomène relativement nouveau dans l’</w:t>
      </w:r>
      <w:r w:rsidRPr="00212D31">
        <w:rPr>
          <w:rFonts w:ascii="Arial" w:hAnsi="Arial" w:cs="Arial"/>
          <w:sz w:val="24"/>
          <w:szCs w:val="24"/>
          <w:lang w:val="fr-BE"/>
        </w:rPr>
        <w:t>histoire de l’</w:t>
      </w:r>
      <w:r w:rsidR="00912EFE" w:rsidRPr="00212D31">
        <w:rPr>
          <w:rFonts w:ascii="Arial" w:hAnsi="Arial" w:cs="Arial"/>
          <w:sz w:val="24"/>
          <w:szCs w:val="24"/>
          <w:lang w:val="fr-BE"/>
        </w:rPr>
        <w:t xml:space="preserve">Union européenne, </w:t>
      </w:r>
      <w:r w:rsidR="009D330F" w:rsidRPr="00212D31">
        <w:rPr>
          <w:rFonts w:ascii="Arial" w:hAnsi="Arial" w:cs="Arial"/>
          <w:sz w:val="24"/>
          <w:szCs w:val="24"/>
          <w:lang w:val="fr-BE"/>
        </w:rPr>
        <w:t>il faut se rappeler que ce concept a connu un développement fulgurant dans la doctrine publiciste depuis la seconde guerre mondiale.</w:t>
      </w:r>
    </w:p>
    <w:p w14:paraId="0A22A5C3" w14:textId="77777777" w:rsidR="00212D31" w:rsidRPr="00212D31" w:rsidRDefault="00212D31" w:rsidP="00212D31">
      <w:pPr>
        <w:spacing w:after="0" w:line="240" w:lineRule="auto"/>
        <w:jc w:val="both"/>
        <w:rPr>
          <w:rFonts w:ascii="Arial" w:hAnsi="Arial" w:cs="Arial"/>
          <w:sz w:val="24"/>
          <w:szCs w:val="24"/>
          <w:lang w:val="fr-BE"/>
        </w:rPr>
      </w:pPr>
    </w:p>
    <w:p w14:paraId="272DB2B6" w14:textId="2B475E9A" w:rsidR="009D330F" w:rsidRDefault="00B3148E"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L</w:t>
      </w:r>
      <w:r w:rsidR="009D330F" w:rsidRPr="00212D31">
        <w:rPr>
          <w:rFonts w:ascii="Arial" w:hAnsi="Arial" w:cs="Arial"/>
          <w:sz w:val="24"/>
          <w:szCs w:val="24"/>
          <w:lang w:val="fr-BE"/>
        </w:rPr>
        <w:t xml:space="preserve">e concept d’Etat de droit est </w:t>
      </w:r>
      <w:r w:rsidRPr="00212D31">
        <w:rPr>
          <w:rFonts w:ascii="Arial" w:hAnsi="Arial" w:cs="Arial"/>
          <w:sz w:val="24"/>
          <w:szCs w:val="24"/>
          <w:lang w:val="fr-BE"/>
        </w:rPr>
        <w:t xml:space="preserve">déjà </w:t>
      </w:r>
      <w:r w:rsidR="009D330F" w:rsidRPr="00212D31">
        <w:rPr>
          <w:rFonts w:ascii="Arial" w:hAnsi="Arial" w:cs="Arial"/>
          <w:sz w:val="24"/>
          <w:szCs w:val="24"/>
          <w:lang w:val="fr-BE"/>
        </w:rPr>
        <w:t xml:space="preserve">apparu au cours du XIXème siècle dans la pensée juridique allemande et l’expression est d’ailleurs une traduction littérale du mot allemand </w:t>
      </w:r>
      <w:proofErr w:type="spellStart"/>
      <w:r w:rsidR="009D330F" w:rsidRPr="00212D31">
        <w:rPr>
          <w:rFonts w:ascii="Arial" w:hAnsi="Arial" w:cs="Arial"/>
          <w:sz w:val="24"/>
          <w:szCs w:val="24"/>
          <w:lang w:val="fr-BE"/>
        </w:rPr>
        <w:t>Rechtstaat</w:t>
      </w:r>
      <w:proofErr w:type="spellEnd"/>
      <w:r w:rsidR="009D330F" w:rsidRPr="00212D31">
        <w:rPr>
          <w:rFonts w:ascii="Arial" w:hAnsi="Arial" w:cs="Arial"/>
          <w:sz w:val="24"/>
          <w:szCs w:val="24"/>
          <w:lang w:val="fr-BE"/>
        </w:rPr>
        <w:t xml:space="preserve">. Il visait à encadrer et à limiter, grâce à un ensemble de normes juridiques, le pouvoir de l’État. </w:t>
      </w:r>
      <w:r w:rsidRPr="00212D31">
        <w:rPr>
          <w:rFonts w:ascii="Arial" w:hAnsi="Arial" w:cs="Arial"/>
          <w:sz w:val="24"/>
          <w:szCs w:val="24"/>
          <w:lang w:val="fr-BE"/>
        </w:rPr>
        <w:t>L</w:t>
      </w:r>
      <w:r w:rsidR="009D330F" w:rsidRPr="00212D31">
        <w:rPr>
          <w:rFonts w:ascii="Arial" w:hAnsi="Arial" w:cs="Arial"/>
          <w:sz w:val="24"/>
          <w:szCs w:val="24"/>
          <w:lang w:val="fr-BE"/>
        </w:rPr>
        <w:t>e concept a été regardé avec beaucoup de méfiance par la France de l’époque, car il était, a priori, peu compatible avec la théorie française de l’État-nation et de la loi, expression de la volonté générale.</w:t>
      </w:r>
    </w:p>
    <w:p w14:paraId="0166B1AA" w14:textId="77777777" w:rsidR="00212D31" w:rsidRPr="00212D31" w:rsidRDefault="00212D31" w:rsidP="00212D31">
      <w:pPr>
        <w:spacing w:after="0" w:line="240" w:lineRule="auto"/>
        <w:jc w:val="both"/>
        <w:rPr>
          <w:rFonts w:ascii="Arial" w:hAnsi="Arial" w:cs="Arial"/>
          <w:sz w:val="24"/>
          <w:szCs w:val="24"/>
          <w:lang w:val="fr-BE"/>
        </w:rPr>
      </w:pPr>
    </w:p>
    <w:p w14:paraId="4678E072" w14:textId="4E764673" w:rsidR="00B3148E" w:rsidRPr="00212D31" w:rsidRDefault="00B3148E"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 xml:space="preserve">C’est après la seconde guerre mondiale </w:t>
      </w:r>
      <w:r w:rsidR="00345322" w:rsidRPr="00212D31">
        <w:rPr>
          <w:rFonts w:ascii="Arial" w:hAnsi="Arial" w:cs="Arial"/>
          <w:sz w:val="24"/>
          <w:szCs w:val="24"/>
          <w:lang w:val="fr-BE"/>
        </w:rPr>
        <w:t xml:space="preserve">que le concept a subi une inflexion essentielle, tant en Allemagne qu’en France, pour n’évoquer plus seulement l’existence d’un ordre juridique hiérarchisé, mais encore un ensemble de droits et libertés. Il a acquis un caractère substantiel. </w:t>
      </w:r>
      <w:r w:rsidR="00C5719F" w:rsidRPr="00212D31">
        <w:rPr>
          <w:rFonts w:ascii="Arial" w:hAnsi="Arial" w:cs="Arial"/>
          <w:sz w:val="24"/>
          <w:szCs w:val="24"/>
          <w:lang w:val="fr-BE"/>
        </w:rPr>
        <w:t>À</w:t>
      </w:r>
      <w:r w:rsidR="00345322" w:rsidRPr="00212D31">
        <w:rPr>
          <w:rFonts w:ascii="Arial" w:hAnsi="Arial" w:cs="Arial"/>
          <w:sz w:val="24"/>
          <w:szCs w:val="24"/>
          <w:lang w:val="fr-BE"/>
        </w:rPr>
        <w:t xml:space="preserve"> tel point qu’il y a peu d’avancées de l’</w:t>
      </w:r>
      <w:r w:rsidR="00F61192" w:rsidRPr="00212D31">
        <w:rPr>
          <w:rFonts w:ascii="Arial" w:hAnsi="Arial" w:cs="Arial"/>
          <w:sz w:val="24"/>
          <w:szCs w:val="24"/>
          <w:lang w:val="fr-BE"/>
        </w:rPr>
        <w:t>É</w:t>
      </w:r>
      <w:r w:rsidR="00345322" w:rsidRPr="00212D31">
        <w:rPr>
          <w:rFonts w:ascii="Arial" w:hAnsi="Arial" w:cs="Arial"/>
          <w:sz w:val="24"/>
          <w:szCs w:val="24"/>
          <w:lang w:val="fr-BE"/>
        </w:rPr>
        <w:t>tat moderne qui ne soient associées au principe de l’</w:t>
      </w:r>
      <w:r w:rsidR="00F61192" w:rsidRPr="00212D31">
        <w:rPr>
          <w:rFonts w:ascii="Arial" w:hAnsi="Arial" w:cs="Arial"/>
          <w:sz w:val="24"/>
          <w:szCs w:val="24"/>
          <w:lang w:val="fr-BE"/>
        </w:rPr>
        <w:t>É</w:t>
      </w:r>
      <w:r w:rsidR="00345322" w:rsidRPr="00212D31">
        <w:rPr>
          <w:rFonts w:ascii="Arial" w:hAnsi="Arial" w:cs="Arial"/>
          <w:sz w:val="24"/>
          <w:szCs w:val="24"/>
          <w:lang w:val="fr-BE"/>
        </w:rPr>
        <w:t>tat de droit.</w:t>
      </w:r>
    </w:p>
    <w:p w14:paraId="1C01A2D9" w14:textId="77777777" w:rsidR="00F61192" w:rsidRPr="00212D31" w:rsidRDefault="00F61192" w:rsidP="00212D31">
      <w:pPr>
        <w:spacing w:after="0" w:line="240" w:lineRule="auto"/>
        <w:jc w:val="both"/>
        <w:rPr>
          <w:rFonts w:ascii="Arial" w:hAnsi="Arial" w:cs="Arial"/>
          <w:b/>
          <w:sz w:val="24"/>
          <w:szCs w:val="24"/>
          <w:lang w:val="fr-BE"/>
        </w:rPr>
      </w:pPr>
    </w:p>
    <w:p w14:paraId="15D65EC7" w14:textId="5EC2B28F" w:rsidR="00567616" w:rsidRPr="00212D31" w:rsidRDefault="00567616" w:rsidP="00212D31">
      <w:pPr>
        <w:spacing w:after="0" w:line="240" w:lineRule="auto"/>
        <w:jc w:val="both"/>
        <w:rPr>
          <w:rFonts w:ascii="Arial" w:hAnsi="Arial" w:cs="Arial"/>
          <w:b/>
          <w:color w:val="C00000"/>
          <w:sz w:val="28"/>
          <w:szCs w:val="28"/>
          <w:lang w:val="fr-BE"/>
        </w:rPr>
      </w:pPr>
      <w:r w:rsidRPr="00212D31">
        <w:rPr>
          <w:rFonts w:ascii="Arial" w:hAnsi="Arial" w:cs="Arial"/>
          <w:b/>
          <w:color w:val="C00000"/>
          <w:sz w:val="28"/>
          <w:szCs w:val="28"/>
          <w:lang w:val="fr-BE"/>
        </w:rPr>
        <w:t xml:space="preserve">III. </w:t>
      </w:r>
      <w:r w:rsidR="00D5399E" w:rsidRPr="00212D31">
        <w:rPr>
          <w:rFonts w:ascii="Arial" w:hAnsi="Arial" w:cs="Arial"/>
          <w:b/>
          <w:color w:val="C00000"/>
          <w:sz w:val="28"/>
          <w:szCs w:val="28"/>
          <w:lang w:val="fr-BE"/>
        </w:rPr>
        <w:t>L’</w:t>
      </w:r>
      <w:r w:rsidR="003F0B93" w:rsidRPr="00212D31">
        <w:rPr>
          <w:rFonts w:ascii="Arial" w:hAnsi="Arial" w:cs="Arial"/>
          <w:b/>
          <w:color w:val="C00000"/>
          <w:sz w:val="28"/>
          <w:szCs w:val="28"/>
          <w:lang w:val="fr-BE"/>
        </w:rPr>
        <w:t>État</w:t>
      </w:r>
      <w:r w:rsidR="00D5399E" w:rsidRPr="00212D31">
        <w:rPr>
          <w:rFonts w:ascii="Arial" w:hAnsi="Arial" w:cs="Arial"/>
          <w:b/>
          <w:color w:val="C00000"/>
          <w:sz w:val="28"/>
          <w:szCs w:val="28"/>
          <w:lang w:val="fr-BE"/>
        </w:rPr>
        <w:t xml:space="preserve"> de droit dans la jurisprudence de la Cour de justice de l’Union européenne</w:t>
      </w:r>
    </w:p>
    <w:p w14:paraId="6E3DD7EB" w14:textId="77777777" w:rsidR="00212D31" w:rsidRDefault="00212D31" w:rsidP="00212D31">
      <w:pPr>
        <w:spacing w:after="0" w:line="240" w:lineRule="auto"/>
        <w:jc w:val="both"/>
        <w:rPr>
          <w:rFonts w:ascii="Arial" w:hAnsi="Arial" w:cs="Arial"/>
          <w:sz w:val="24"/>
          <w:szCs w:val="24"/>
          <w:lang w:val="fr-BE"/>
        </w:rPr>
      </w:pPr>
    </w:p>
    <w:p w14:paraId="5BFEAE64" w14:textId="31CD4AA6" w:rsidR="007802EE" w:rsidRDefault="00345322"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Loin de</w:t>
      </w:r>
      <w:r w:rsidR="00391D11" w:rsidRPr="00212D31">
        <w:rPr>
          <w:rFonts w:ascii="Arial" w:hAnsi="Arial" w:cs="Arial"/>
          <w:sz w:val="24"/>
          <w:szCs w:val="24"/>
          <w:lang w:val="fr-BE"/>
        </w:rPr>
        <w:t xml:space="preserve"> cette conception très large de l’</w:t>
      </w:r>
      <w:r w:rsidR="00C86680" w:rsidRPr="00212D31">
        <w:rPr>
          <w:rFonts w:ascii="Arial" w:hAnsi="Arial" w:cs="Arial"/>
          <w:sz w:val="24"/>
          <w:szCs w:val="24"/>
          <w:lang w:val="fr-BE"/>
        </w:rPr>
        <w:t>É</w:t>
      </w:r>
      <w:r w:rsidR="00391D11" w:rsidRPr="00212D31">
        <w:rPr>
          <w:rFonts w:ascii="Arial" w:hAnsi="Arial" w:cs="Arial"/>
          <w:sz w:val="24"/>
          <w:szCs w:val="24"/>
          <w:lang w:val="fr-BE"/>
        </w:rPr>
        <w:t>tat de droit en tant que principe structurant de l’</w:t>
      </w:r>
      <w:r w:rsidR="00C86680" w:rsidRPr="00212D31">
        <w:rPr>
          <w:rFonts w:ascii="Arial" w:hAnsi="Arial" w:cs="Arial"/>
          <w:sz w:val="24"/>
          <w:szCs w:val="24"/>
          <w:lang w:val="fr-BE"/>
        </w:rPr>
        <w:t>É</w:t>
      </w:r>
      <w:r w:rsidR="00391D11" w:rsidRPr="00212D31">
        <w:rPr>
          <w:rFonts w:ascii="Arial" w:hAnsi="Arial" w:cs="Arial"/>
          <w:sz w:val="24"/>
          <w:szCs w:val="24"/>
          <w:lang w:val="fr-BE"/>
        </w:rPr>
        <w:t xml:space="preserve">tat, et en dépit de </w:t>
      </w:r>
      <w:r w:rsidR="00971B9C" w:rsidRPr="00212D31">
        <w:rPr>
          <w:rFonts w:ascii="Arial" w:hAnsi="Arial" w:cs="Arial"/>
          <w:sz w:val="24"/>
          <w:szCs w:val="24"/>
          <w:lang w:val="fr-BE"/>
        </w:rPr>
        <w:t>l‘</w:t>
      </w:r>
      <w:r w:rsidR="00391D11" w:rsidRPr="00212D31">
        <w:rPr>
          <w:rFonts w:ascii="Arial" w:hAnsi="Arial" w:cs="Arial"/>
          <w:sz w:val="24"/>
          <w:szCs w:val="24"/>
          <w:lang w:val="fr-BE"/>
        </w:rPr>
        <w:t xml:space="preserve">évocation répétée </w:t>
      </w:r>
      <w:r w:rsidR="00971B9C" w:rsidRPr="00212D31">
        <w:rPr>
          <w:rFonts w:ascii="Arial" w:hAnsi="Arial" w:cs="Arial"/>
          <w:sz w:val="24"/>
          <w:szCs w:val="24"/>
          <w:lang w:val="fr-BE"/>
        </w:rPr>
        <w:t xml:space="preserve">de ce principe </w:t>
      </w:r>
      <w:r w:rsidR="00391D11" w:rsidRPr="00212D31">
        <w:rPr>
          <w:rFonts w:ascii="Arial" w:hAnsi="Arial" w:cs="Arial"/>
          <w:sz w:val="24"/>
          <w:szCs w:val="24"/>
          <w:lang w:val="fr-BE"/>
        </w:rPr>
        <w:t>dans le droit primaire de l’Union européenne, l’attitude de la Cour, qui ne s’y réfère que rarement, est plutôt réservée</w:t>
      </w:r>
      <w:r w:rsidR="00971B9C" w:rsidRPr="00212D31">
        <w:rPr>
          <w:rFonts w:ascii="Arial" w:hAnsi="Arial" w:cs="Arial"/>
          <w:sz w:val="24"/>
          <w:szCs w:val="24"/>
          <w:lang w:val="fr-BE"/>
        </w:rPr>
        <w:t xml:space="preserve"> à son égard</w:t>
      </w:r>
      <w:r w:rsidR="007802EE" w:rsidRPr="00212D31">
        <w:rPr>
          <w:rFonts w:ascii="Arial" w:hAnsi="Arial" w:cs="Arial"/>
          <w:sz w:val="24"/>
          <w:szCs w:val="24"/>
          <w:lang w:val="fr-BE"/>
        </w:rPr>
        <w:t xml:space="preserve">. </w:t>
      </w:r>
      <w:r w:rsidR="00C404F2" w:rsidRPr="00212D31">
        <w:rPr>
          <w:rFonts w:ascii="Arial" w:hAnsi="Arial" w:cs="Arial"/>
          <w:sz w:val="24"/>
          <w:szCs w:val="24"/>
          <w:lang w:val="fr-BE"/>
        </w:rPr>
        <w:t xml:space="preserve">La Cour préfère </w:t>
      </w:r>
      <w:r w:rsidR="008554F2" w:rsidRPr="00212D31">
        <w:rPr>
          <w:rFonts w:ascii="Arial" w:hAnsi="Arial" w:cs="Arial"/>
          <w:sz w:val="24"/>
          <w:szCs w:val="24"/>
          <w:lang w:val="fr-BE"/>
        </w:rPr>
        <w:t xml:space="preserve">en effet recourir à un terme plus neutre que celui de </w:t>
      </w:r>
      <w:proofErr w:type="spellStart"/>
      <w:r w:rsidR="008554F2" w:rsidRPr="00212D31">
        <w:rPr>
          <w:rFonts w:ascii="Arial" w:hAnsi="Arial" w:cs="Arial"/>
          <w:sz w:val="24"/>
          <w:szCs w:val="24"/>
          <w:lang w:val="fr-BE"/>
        </w:rPr>
        <w:t>Rechtsstaat</w:t>
      </w:r>
      <w:proofErr w:type="spellEnd"/>
      <w:r w:rsidR="008554F2" w:rsidRPr="00212D31">
        <w:rPr>
          <w:rFonts w:ascii="Arial" w:hAnsi="Arial" w:cs="Arial"/>
          <w:sz w:val="24"/>
          <w:szCs w:val="24"/>
          <w:lang w:val="fr-BE"/>
        </w:rPr>
        <w:t xml:space="preserve"> ou d'</w:t>
      </w:r>
      <w:r w:rsidR="00C86680" w:rsidRPr="00212D31">
        <w:rPr>
          <w:rFonts w:ascii="Arial" w:hAnsi="Arial" w:cs="Arial"/>
          <w:sz w:val="24"/>
          <w:szCs w:val="24"/>
          <w:lang w:val="fr-BE"/>
        </w:rPr>
        <w:t>É</w:t>
      </w:r>
      <w:r w:rsidR="008554F2" w:rsidRPr="00212D31">
        <w:rPr>
          <w:rFonts w:ascii="Arial" w:hAnsi="Arial" w:cs="Arial"/>
          <w:sz w:val="24"/>
          <w:szCs w:val="24"/>
          <w:lang w:val="fr-BE"/>
        </w:rPr>
        <w:t>tat de droit, et affirme</w:t>
      </w:r>
      <w:r w:rsidR="00C404F2" w:rsidRPr="00212D31">
        <w:rPr>
          <w:rFonts w:ascii="Arial" w:hAnsi="Arial" w:cs="Arial"/>
          <w:sz w:val="24"/>
          <w:szCs w:val="24"/>
          <w:lang w:val="fr-BE"/>
        </w:rPr>
        <w:t xml:space="preserve"> que l’Union européenne est une communauté de droit</w:t>
      </w:r>
      <w:r w:rsidR="00103EE4" w:rsidRPr="00212D31">
        <w:rPr>
          <w:rStyle w:val="Appelnotedebasdep"/>
          <w:rFonts w:ascii="Arial" w:hAnsi="Arial" w:cs="Arial"/>
          <w:sz w:val="24"/>
          <w:szCs w:val="24"/>
          <w:lang w:val="fr-BE"/>
        </w:rPr>
        <w:footnoteReference w:id="10"/>
      </w:r>
      <w:r w:rsidR="00971B9C" w:rsidRPr="00212D31">
        <w:rPr>
          <w:rFonts w:ascii="Arial" w:hAnsi="Arial" w:cs="Arial"/>
          <w:sz w:val="24"/>
          <w:szCs w:val="24"/>
          <w:lang w:val="fr-BE"/>
        </w:rPr>
        <w:t>,</w:t>
      </w:r>
      <w:r w:rsidR="008554F2" w:rsidRPr="00212D31">
        <w:rPr>
          <w:rFonts w:ascii="Arial" w:hAnsi="Arial" w:cs="Arial"/>
          <w:sz w:val="24"/>
          <w:szCs w:val="24"/>
          <w:lang w:val="fr-BE"/>
        </w:rPr>
        <w:t xml:space="preserve"> afin </w:t>
      </w:r>
      <w:r w:rsidR="00075903" w:rsidRPr="00212D31">
        <w:rPr>
          <w:rFonts w:ascii="Arial" w:hAnsi="Arial" w:cs="Arial"/>
          <w:sz w:val="24"/>
          <w:szCs w:val="24"/>
          <w:lang w:val="fr-BE"/>
        </w:rPr>
        <w:t xml:space="preserve">– notamment – </w:t>
      </w:r>
      <w:r w:rsidR="008554F2" w:rsidRPr="00212D31">
        <w:rPr>
          <w:rFonts w:ascii="Arial" w:hAnsi="Arial" w:cs="Arial"/>
          <w:sz w:val="24"/>
          <w:szCs w:val="24"/>
          <w:lang w:val="fr-BE"/>
        </w:rPr>
        <w:t>d’éviter les problèmes que la qualification de l’Union en tant qu’</w:t>
      </w:r>
      <w:r w:rsidR="00CE087B" w:rsidRPr="00212D31">
        <w:rPr>
          <w:rFonts w:ascii="Arial" w:hAnsi="Arial" w:cs="Arial"/>
          <w:sz w:val="24"/>
          <w:szCs w:val="24"/>
          <w:lang w:val="fr-BE"/>
        </w:rPr>
        <w:t>É</w:t>
      </w:r>
      <w:r w:rsidR="008554F2" w:rsidRPr="00212D31">
        <w:rPr>
          <w:rFonts w:ascii="Arial" w:hAnsi="Arial" w:cs="Arial"/>
          <w:sz w:val="24"/>
          <w:szCs w:val="24"/>
          <w:lang w:val="fr-BE"/>
        </w:rPr>
        <w:t>tat pourrait causer</w:t>
      </w:r>
      <w:r w:rsidR="008554F2" w:rsidRPr="00212D31">
        <w:rPr>
          <w:rStyle w:val="Appelnotedebasdep"/>
          <w:rFonts w:ascii="Arial" w:hAnsi="Arial" w:cs="Arial"/>
          <w:sz w:val="24"/>
          <w:szCs w:val="24"/>
          <w:lang w:val="fr-BE"/>
        </w:rPr>
        <w:footnoteReference w:id="11"/>
      </w:r>
      <w:r w:rsidR="008554F2" w:rsidRPr="00212D31">
        <w:rPr>
          <w:rFonts w:ascii="Arial" w:hAnsi="Arial" w:cs="Arial"/>
          <w:sz w:val="24"/>
          <w:szCs w:val="24"/>
          <w:lang w:val="fr-BE"/>
        </w:rPr>
        <w:t>. Cette Communauté de droit</w:t>
      </w:r>
      <w:r w:rsidR="00971B9C" w:rsidRPr="00212D31">
        <w:rPr>
          <w:rFonts w:ascii="Arial" w:hAnsi="Arial" w:cs="Arial"/>
          <w:sz w:val="24"/>
          <w:szCs w:val="24"/>
          <w:lang w:val="fr-BE"/>
        </w:rPr>
        <w:t xml:space="preserve"> garantit</w:t>
      </w:r>
      <w:r w:rsidR="00C404F2" w:rsidRPr="00212D31">
        <w:rPr>
          <w:rFonts w:ascii="Arial" w:hAnsi="Arial" w:cs="Arial"/>
          <w:sz w:val="24"/>
          <w:szCs w:val="24"/>
          <w:lang w:val="fr-BE"/>
        </w:rPr>
        <w:t xml:space="preserve"> que tant les </w:t>
      </w:r>
      <w:r w:rsidR="00C86680" w:rsidRPr="00212D31">
        <w:rPr>
          <w:rFonts w:ascii="Arial" w:hAnsi="Arial" w:cs="Arial"/>
          <w:sz w:val="24"/>
          <w:szCs w:val="24"/>
          <w:lang w:val="fr-BE"/>
        </w:rPr>
        <w:t>É</w:t>
      </w:r>
      <w:r w:rsidR="00C404F2" w:rsidRPr="00212D31">
        <w:rPr>
          <w:rFonts w:ascii="Arial" w:hAnsi="Arial" w:cs="Arial"/>
          <w:sz w:val="24"/>
          <w:szCs w:val="24"/>
          <w:lang w:val="fr-BE"/>
        </w:rPr>
        <w:t xml:space="preserve">tats membres que </w:t>
      </w:r>
      <w:r w:rsidR="00971B9C" w:rsidRPr="00212D31">
        <w:rPr>
          <w:rFonts w:ascii="Arial" w:hAnsi="Arial" w:cs="Arial"/>
          <w:sz w:val="24"/>
          <w:szCs w:val="24"/>
          <w:lang w:val="fr-BE"/>
        </w:rPr>
        <w:t>les instituti</w:t>
      </w:r>
      <w:r w:rsidR="00C404F2" w:rsidRPr="00212D31">
        <w:rPr>
          <w:rFonts w:ascii="Arial" w:hAnsi="Arial" w:cs="Arial"/>
          <w:sz w:val="24"/>
          <w:szCs w:val="24"/>
          <w:lang w:val="fr-BE"/>
        </w:rPr>
        <w:t xml:space="preserve">ons de l’Union </w:t>
      </w:r>
      <w:r w:rsidR="00971B9C" w:rsidRPr="00212D31">
        <w:rPr>
          <w:rFonts w:ascii="Arial" w:hAnsi="Arial" w:cs="Arial"/>
          <w:sz w:val="24"/>
          <w:szCs w:val="24"/>
          <w:lang w:val="fr-BE"/>
        </w:rPr>
        <w:t>so</w:t>
      </w:r>
      <w:r w:rsidR="00C404F2" w:rsidRPr="00212D31">
        <w:rPr>
          <w:rFonts w:ascii="Arial" w:hAnsi="Arial" w:cs="Arial"/>
          <w:sz w:val="24"/>
          <w:szCs w:val="24"/>
          <w:lang w:val="fr-BE"/>
        </w:rPr>
        <w:t>nt soumis à un contrôle effectif</w:t>
      </w:r>
      <w:r w:rsidR="004F4F1A" w:rsidRPr="00212D31">
        <w:rPr>
          <w:rFonts w:ascii="Arial" w:hAnsi="Arial" w:cs="Arial"/>
          <w:sz w:val="24"/>
          <w:szCs w:val="24"/>
          <w:lang w:val="fr-BE"/>
        </w:rPr>
        <w:t xml:space="preserve"> “</w:t>
      </w:r>
      <w:r w:rsidR="00C404F2" w:rsidRPr="00212D31">
        <w:rPr>
          <w:rFonts w:ascii="Arial" w:hAnsi="Arial" w:cs="Arial"/>
          <w:sz w:val="24"/>
          <w:szCs w:val="24"/>
          <w:lang w:val="fr-BE"/>
        </w:rPr>
        <w:t xml:space="preserve">de la conformité de leurs actes à la charte constitutionnelle de base </w:t>
      </w:r>
      <w:r w:rsidR="00C404F2" w:rsidRPr="00212D31">
        <w:rPr>
          <w:rFonts w:ascii="Arial" w:hAnsi="Arial" w:cs="Arial"/>
          <w:sz w:val="24"/>
          <w:szCs w:val="24"/>
          <w:lang w:val="fr-BE"/>
        </w:rPr>
        <w:lastRenderedPageBreak/>
        <w:t>qu’est le traité</w:t>
      </w:r>
      <w:r w:rsidR="007802EE" w:rsidRPr="00212D31">
        <w:rPr>
          <w:rFonts w:ascii="Arial" w:hAnsi="Arial" w:cs="Arial"/>
          <w:sz w:val="24"/>
          <w:szCs w:val="24"/>
          <w:lang w:val="fr-BE"/>
        </w:rPr>
        <w:t>“</w:t>
      </w:r>
      <w:r w:rsidR="004F4F1A" w:rsidRPr="00212D31">
        <w:rPr>
          <w:rStyle w:val="Appelnotedebasdep"/>
          <w:rFonts w:ascii="Arial" w:hAnsi="Arial" w:cs="Arial"/>
          <w:sz w:val="24"/>
          <w:szCs w:val="24"/>
          <w:lang w:val="fr-BE"/>
        </w:rPr>
        <w:footnoteReference w:id="12"/>
      </w:r>
      <w:r w:rsidR="008E7623" w:rsidRPr="00212D31">
        <w:rPr>
          <w:rFonts w:ascii="Arial" w:hAnsi="Arial" w:cs="Arial"/>
          <w:sz w:val="24"/>
          <w:szCs w:val="24"/>
          <w:lang w:val="fr-BE"/>
        </w:rPr>
        <w:t> ; un contrôle qui s’est étendu avec le temps au-delà du traité puisque:</w:t>
      </w:r>
      <w:r w:rsidR="004F4F1A" w:rsidRPr="00212D31">
        <w:rPr>
          <w:rFonts w:ascii="Arial" w:hAnsi="Arial" w:cs="Arial"/>
          <w:sz w:val="24"/>
          <w:szCs w:val="24"/>
          <w:lang w:val="fr-BE"/>
        </w:rPr>
        <w:t xml:space="preserve"> „</w:t>
      </w:r>
      <w:r w:rsidR="00300ECF" w:rsidRPr="00212D31">
        <w:rPr>
          <w:rFonts w:ascii="Arial" w:hAnsi="Arial" w:cs="Arial"/>
          <w:sz w:val="24"/>
          <w:szCs w:val="24"/>
          <w:lang w:val="fr-BE"/>
        </w:rPr>
        <w:t>l’Union est une Union de droit dans laquelle ses institutions sont soumises au contrôle de la conformité de leurs actes, notamment avec les traités, les principes généraux du droit ainsi que les droits fondamentaux</w:t>
      </w:r>
      <w:r w:rsidR="004F4F1A" w:rsidRPr="00212D31">
        <w:rPr>
          <w:rFonts w:ascii="Arial" w:hAnsi="Arial" w:cs="Arial"/>
          <w:sz w:val="24"/>
          <w:szCs w:val="24"/>
          <w:lang w:val="fr-BE"/>
        </w:rPr>
        <w:t>“</w:t>
      </w:r>
      <w:r w:rsidR="004F4F1A" w:rsidRPr="00212D31">
        <w:rPr>
          <w:rStyle w:val="Appelnotedebasdep"/>
          <w:rFonts w:ascii="Arial" w:hAnsi="Arial" w:cs="Arial"/>
          <w:sz w:val="24"/>
          <w:szCs w:val="24"/>
          <w:lang w:val="fr-BE"/>
        </w:rPr>
        <w:footnoteReference w:id="13"/>
      </w:r>
      <w:r w:rsidR="004F4F1A" w:rsidRPr="00212D31">
        <w:rPr>
          <w:rFonts w:ascii="Arial" w:hAnsi="Arial" w:cs="Arial"/>
          <w:sz w:val="24"/>
          <w:szCs w:val="24"/>
          <w:lang w:val="fr-BE"/>
        </w:rPr>
        <w:t xml:space="preserve">. </w:t>
      </w:r>
      <w:r w:rsidR="004E03AF" w:rsidRPr="00212D31">
        <w:rPr>
          <w:rFonts w:ascii="Arial" w:hAnsi="Arial" w:cs="Arial"/>
          <w:sz w:val="24"/>
          <w:szCs w:val="24"/>
          <w:lang w:val="fr-BE"/>
        </w:rPr>
        <w:t xml:space="preserve">La Cour devient plus explicite lorsqu’elle rappelle que le principe de la séparation des pouvoirs caractérise le fonctionnement d’un </w:t>
      </w:r>
      <w:r w:rsidR="00C86680" w:rsidRPr="00212D31">
        <w:rPr>
          <w:rFonts w:ascii="Arial" w:hAnsi="Arial" w:cs="Arial"/>
          <w:sz w:val="24"/>
          <w:szCs w:val="24"/>
          <w:lang w:val="fr-BE"/>
        </w:rPr>
        <w:t>É</w:t>
      </w:r>
      <w:r w:rsidR="004E03AF" w:rsidRPr="00212D31">
        <w:rPr>
          <w:rFonts w:ascii="Arial" w:hAnsi="Arial" w:cs="Arial"/>
          <w:sz w:val="24"/>
          <w:szCs w:val="24"/>
          <w:lang w:val="fr-BE"/>
        </w:rPr>
        <w:t>tat de droit</w:t>
      </w:r>
      <w:r w:rsidR="0060713E" w:rsidRPr="00212D31">
        <w:rPr>
          <w:rStyle w:val="Appelnotedebasdep"/>
          <w:rFonts w:ascii="Arial" w:hAnsi="Arial" w:cs="Arial"/>
          <w:sz w:val="24"/>
          <w:szCs w:val="24"/>
          <w:lang w:val="fr-BE"/>
        </w:rPr>
        <w:footnoteReference w:id="14"/>
      </w:r>
      <w:r w:rsidR="0060713E" w:rsidRPr="00212D31">
        <w:rPr>
          <w:rFonts w:ascii="Arial" w:hAnsi="Arial" w:cs="Arial"/>
          <w:sz w:val="24"/>
          <w:szCs w:val="24"/>
          <w:lang w:val="fr-BE"/>
        </w:rPr>
        <w:t xml:space="preserve">, </w:t>
      </w:r>
      <w:r w:rsidR="004E03AF" w:rsidRPr="00212D31">
        <w:rPr>
          <w:rFonts w:ascii="Arial" w:hAnsi="Arial" w:cs="Arial"/>
          <w:sz w:val="24"/>
          <w:szCs w:val="24"/>
          <w:lang w:val="fr-BE"/>
        </w:rPr>
        <w:t>et mentionne expressément, ce faisant, le concept</w:t>
      </w:r>
      <w:r w:rsidR="0060713E" w:rsidRPr="00212D31">
        <w:rPr>
          <w:rFonts w:ascii="Arial" w:hAnsi="Arial" w:cs="Arial"/>
          <w:sz w:val="24"/>
          <w:szCs w:val="24"/>
          <w:lang w:val="fr-BE"/>
        </w:rPr>
        <w:t xml:space="preserve">. </w:t>
      </w:r>
      <w:r w:rsidR="00E476BD" w:rsidRPr="00212D31">
        <w:rPr>
          <w:rFonts w:ascii="Arial" w:hAnsi="Arial" w:cs="Arial"/>
          <w:sz w:val="24"/>
          <w:szCs w:val="24"/>
          <w:lang w:val="fr-BE"/>
        </w:rPr>
        <w:t xml:space="preserve">Elle </w:t>
      </w:r>
      <w:r w:rsidR="00BA670C" w:rsidRPr="00212D31">
        <w:rPr>
          <w:rFonts w:ascii="Arial" w:hAnsi="Arial" w:cs="Arial"/>
          <w:sz w:val="24"/>
          <w:szCs w:val="24"/>
          <w:lang w:val="fr-BE"/>
        </w:rPr>
        <w:t>l‘</w:t>
      </w:r>
      <w:r w:rsidR="00E476BD" w:rsidRPr="00212D31">
        <w:rPr>
          <w:rFonts w:ascii="Arial" w:hAnsi="Arial" w:cs="Arial"/>
          <w:sz w:val="24"/>
          <w:szCs w:val="24"/>
          <w:lang w:val="fr-BE"/>
        </w:rPr>
        <w:t xml:space="preserve">a </w:t>
      </w:r>
      <w:r w:rsidR="00BA670C" w:rsidRPr="00212D31">
        <w:rPr>
          <w:rFonts w:ascii="Arial" w:hAnsi="Arial" w:cs="Arial"/>
          <w:sz w:val="24"/>
          <w:szCs w:val="24"/>
          <w:lang w:val="fr-BE"/>
        </w:rPr>
        <w:t>également évoqué</w:t>
      </w:r>
      <w:r w:rsidR="004E03AF" w:rsidRPr="00212D31">
        <w:rPr>
          <w:rFonts w:ascii="Arial" w:hAnsi="Arial" w:cs="Arial"/>
          <w:sz w:val="24"/>
          <w:szCs w:val="24"/>
          <w:lang w:val="fr-BE"/>
        </w:rPr>
        <w:t xml:space="preserve"> dans le contexte de la lutte contre le terrorisme et de la législation anti-blanchiment de capitaux, </w:t>
      </w:r>
      <w:r w:rsidR="00BA670C" w:rsidRPr="00212D31">
        <w:rPr>
          <w:rFonts w:ascii="Arial" w:hAnsi="Arial" w:cs="Arial"/>
          <w:sz w:val="24"/>
          <w:szCs w:val="24"/>
          <w:lang w:val="fr-BE"/>
        </w:rPr>
        <w:t>en relevant que</w:t>
      </w:r>
      <w:r w:rsidR="00482284" w:rsidRPr="00212D31">
        <w:rPr>
          <w:rFonts w:ascii="Arial" w:hAnsi="Arial" w:cs="Arial"/>
          <w:sz w:val="24"/>
          <w:szCs w:val="24"/>
          <w:lang w:val="fr-BE"/>
        </w:rPr>
        <w:t xml:space="preserve"> </w:t>
      </w:r>
      <w:r w:rsidR="00BA670C" w:rsidRPr="00212D31">
        <w:rPr>
          <w:rFonts w:ascii="Arial" w:hAnsi="Arial" w:cs="Arial"/>
          <w:sz w:val="24"/>
          <w:szCs w:val="24"/>
          <w:lang w:val="fr-BE"/>
        </w:rPr>
        <w:t>l’Union</w:t>
      </w:r>
      <w:r w:rsidR="00C85D2B" w:rsidRPr="00212D31">
        <w:rPr>
          <w:rFonts w:ascii="Arial" w:hAnsi="Arial" w:cs="Arial"/>
          <w:sz w:val="24"/>
          <w:szCs w:val="24"/>
          <w:lang w:val="fr-BE"/>
        </w:rPr>
        <w:t xml:space="preserve"> „</w:t>
      </w:r>
      <w:r w:rsidR="00BA670C" w:rsidRPr="00212D31">
        <w:rPr>
          <w:rFonts w:ascii="Arial" w:hAnsi="Arial" w:cs="Arial"/>
          <w:sz w:val="24"/>
          <w:szCs w:val="24"/>
          <w:lang w:val="fr-BE"/>
        </w:rPr>
        <w:t>est fondée sur le principe de l’</w:t>
      </w:r>
      <w:r w:rsidR="00C86680" w:rsidRPr="00212D31">
        <w:rPr>
          <w:rFonts w:ascii="Arial" w:hAnsi="Arial" w:cs="Arial"/>
          <w:sz w:val="24"/>
          <w:szCs w:val="24"/>
          <w:lang w:val="fr-BE"/>
        </w:rPr>
        <w:t>É</w:t>
      </w:r>
      <w:r w:rsidR="00BA670C" w:rsidRPr="00212D31">
        <w:rPr>
          <w:rFonts w:ascii="Arial" w:hAnsi="Arial" w:cs="Arial"/>
          <w:sz w:val="24"/>
          <w:szCs w:val="24"/>
          <w:lang w:val="fr-BE"/>
        </w:rPr>
        <w:t xml:space="preserve">tat de droit et respecte les droits fondamentaux, tels qu’ils sont garantis par la </w:t>
      </w:r>
      <w:r w:rsidR="00B005EF" w:rsidRPr="00212D31">
        <w:rPr>
          <w:rFonts w:ascii="Arial" w:hAnsi="Arial" w:cs="Arial"/>
          <w:sz w:val="24"/>
          <w:szCs w:val="24"/>
          <w:lang w:val="fr-BE"/>
        </w:rPr>
        <w:t>C</w:t>
      </w:r>
      <w:r w:rsidR="00BA670C" w:rsidRPr="00212D31">
        <w:rPr>
          <w:rFonts w:ascii="Arial" w:hAnsi="Arial" w:cs="Arial"/>
          <w:sz w:val="24"/>
          <w:szCs w:val="24"/>
          <w:lang w:val="fr-BE"/>
        </w:rPr>
        <w:t xml:space="preserve">onvention européenne de sauvegarde des droits de l’homme et des libertés fondamentales […] et tels qu’ils résultent des traditions constitutionnelles communes aux </w:t>
      </w:r>
      <w:r w:rsidR="00C86680" w:rsidRPr="00212D31">
        <w:rPr>
          <w:rFonts w:ascii="Arial" w:hAnsi="Arial" w:cs="Arial"/>
          <w:sz w:val="24"/>
          <w:szCs w:val="24"/>
          <w:lang w:val="fr-BE"/>
        </w:rPr>
        <w:t>É</w:t>
      </w:r>
      <w:r w:rsidR="00BA670C" w:rsidRPr="00212D31">
        <w:rPr>
          <w:rFonts w:ascii="Arial" w:hAnsi="Arial" w:cs="Arial"/>
          <w:sz w:val="24"/>
          <w:szCs w:val="24"/>
          <w:lang w:val="fr-BE"/>
        </w:rPr>
        <w:t>tats membres</w:t>
      </w:r>
      <w:r w:rsidR="00C95E9C" w:rsidRPr="00212D31">
        <w:rPr>
          <w:rFonts w:ascii="Arial" w:hAnsi="Arial" w:cs="Arial"/>
          <w:sz w:val="24"/>
          <w:szCs w:val="24"/>
          <w:lang w:val="fr-BE"/>
        </w:rPr>
        <w:t>“</w:t>
      </w:r>
      <w:r w:rsidR="00C95E9C" w:rsidRPr="00212D31">
        <w:rPr>
          <w:rStyle w:val="Appelnotedebasdep"/>
          <w:rFonts w:ascii="Arial" w:hAnsi="Arial" w:cs="Arial"/>
          <w:sz w:val="24"/>
          <w:szCs w:val="24"/>
          <w:lang w:val="fr-BE"/>
        </w:rPr>
        <w:footnoteReference w:id="15"/>
      </w:r>
      <w:r w:rsidR="00C95E9C" w:rsidRPr="00212D31">
        <w:rPr>
          <w:rFonts w:ascii="Arial" w:hAnsi="Arial" w:cs="Arial"/>
          <w:sz w:val="24"/>
          <w:szCs w:val="24"/>
          <w:lang w:val="fr-BE"/>
        </w:rPr>
        <w:t>.</w:t>
      </w:r>
    </w:p>
    <w:p w14:paraId="5BBA8ACB" w14:textId="77777777" w:rsidR="00212D31" w:rsidRPr="00212D31" w:rsidRDefault="00212D31" w:rsidP="00212D31">
      <w:pPr>
        <w:spacing w:after="0" w:line="240" w:lineRule="auto"/>
        <w:jc w:val="both"/>
        <w:rPr>
          <w:rFonts w:ascii="Arial" w:hAnsi="Arial" w:cs="Arial"/>
          <w:sz w:val="24"/>
          <w:szCs w:val="24"/>
          <w:lang w:val="fr-BE"/>
        </w:rPr>
      </w:pPr>
    </w:p>
    <w:p w14:paraId="547511B6" w14:textId="104EDCC4" w:rsidR="007B274E" w:rsidRDefault="006D3787"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Le rare renvoi à l’</w:t>
      </w:r>
      <w:r w:rsidR="00C86680" w:rsidRPr="00212D31">
        <w:rPr>
          <w:rFonts w:ascii="Arial" w:hAnsi="Arial" w:cs="Arial"/>
          <w:sz w:val="24"/>
          <w:szCs w:val="24"/>
          <w:lang w:val="fr-BE"/>
        </w:rPr>
        <w:t>É</w:t>
      </w:r>
      <w:r w:rsidRPr="00212D31">
        <w:rPr>
          <w:rFonts w:ascii="Arial" w:hAnsi="Arial" w:cs="Arial"/>
          <w:sz w:val="24"/>
          <w:szCs w:val="24"/>
          <w:lang w:val="fr-BE"/>
        </w:rPr>
        <w:t xml:space="preserve">tat de droit dans la jurisprudence de la Cour ne doit cependant pas donner l’impression que cette dernière </w:t>
      </w:r>
      <w:r w:rsidR="001C04BF" w:rsidRPr="00212D31">
        <w:rPr>
          <w:rFonts w:ascii="Arial" w:hAnsi="Arial" w:cs="Arial"/>
          <w:sz w:val="24"/>
          <w:szCs w:val="24"/>
          <w:lang w:val="fr-BE"/>
        </w:rPr>
        <w:t>éprouverait des difficultés à manier ce concept de première importance pour l’</w:t>
      </w:r>
      <w:r w:rsidR="00C86680" w:rsidRPr="00212D31">
        <w:rPr>
          <w:rFonts w:ascii="Arial" w:hAnsi="Arial" w:cs="Arial"/>
          <w:sz w:val="24"/>
          <w:szCs w:val="24"/>
          <w:lang w:val="fr-BE"/>
        </w:rPr>
        <w:t>É</w:t>
      </w:r>
      <w:r w:rsidR="001C04BF" w:rsidRPr="00212D31">
        <w:rPr>
          <w:rFonts w:ascii="Arial" w:hAnsi="Arial" w:cs="Arial"/>
          <w:sz w:val="24"/>
          <w:szCs w:val="24"/>
          <w:lang w:val="fr-BE"/>
        </w:rPr>
        <w:t>tat moderne</w:t>
      </w:r>
      <w:r w:rsidR="00B2292F" w:rsidRPr="00212D31">
        <w:rPr>
          <w:rFonts w:ascii="Arial" w:hAnsi="Arial" w:cs="Arial"/>
          <w:sz w:val="24"/>
          <w:szCs w:val="24"/>
          <w:lang w:val="fr-BE"/>
        </w:rPr>
        <w:t xml:space="preserve">. </w:t>
      </w:r>
      <w:r w:rsidR="001C04BF" w:rsidRPr="00212D31">
        <w:rPr>
          <w:rFonts w:ascii="Arial" w:hAnsi="Arial" w:cs="Arial"/>
          <w:sz w:val="24"/>
          <w:szCs w:val="24"/>
          <w:lang w:val="fr-BE"/>
        </w:rPr>
        <w:t>En effet, beaucoup de ce qui relève habituellement du concept d</w:t>
      </w:r>
      <w:r w:rsidR="000C09C4" w:rsidRPr="00212D31">
        <w:rPr>
          <w:rFonts w:ascii="Arial" w:hAnsi="Arial" w:cs="Arial"/>
          <w:sz w:val="24"/>
          <w:szCs w:val="24"/>
          <w:lang w:val="fr-BE"/>
        </w:rPr>
        <w:t>e l‘</w:t>
      </w:r>
      <w:r w:rsidR="00C86680" w:rsidRPr="00212D31">
        <w:rPr>
          <w:rFonts w:ascii="Arial" w:hAnsi="Arial" w:cs="Arial"/>
          <w:sz w:val="24"/>
          <w:szCs w:val="24"/>
          <w:lang w:val="fr-BE"/>
        </w:rPr>
        <w:t>É</w:t>
      </w:r>
      <w:r w:rsidR="001C04BF" w:rsidRPr="00212D31">
        <w:rPr>
          <w:rFonts w:ascii="Arial" w:hAnsi="Arial" w:cs="Arial"/>
          <w:sz w:val="24"/>
          <w:szCs w:val="24"/>
          <w:lang w:val="fr-BE"/>
        </w:rPr>
        <w:t xml:space="preserve">tat de droit </w:t>
      </w:r>
      <w:r w:rsidR="000C09C4" w:rsidRPr="00212D31">
        <w:rPr>
          <w:rFonts w:ascii="Arial" w:hAnsi="Arial" w:cs="Arial"/>
          <w:sz w:val="24"/>
          <w:szCs w:val="24"/>
          <w:lang w:val="fr-BE"/>
        </w:rPr>
        <w:t>est bien présent dans la jurisprudence de la Cour et peut être considéré comme un acquis dans celle-ci</w:t>
      </w:r>
      <w:r w:rsidR="00813730" w:rsidRPr="00212D31">
        <w:rPr>
          <w:rFonts w:ascii="Arial" w:hAnsi="Arial" w:cs="Arial"/>
          <w:sz w:val="24"/>
          <w:szCs w:val="24"/>
          <w:lang w:val="fr-BE"/>
        </w:rPr>
        <w:t xml:space="preserve">. </w:t>
      </w:r>
      <w:r w:rsidR="00C242C3" w:rsidRPr="00212D31">
        <w:rPr>
          <w:rFonts w:ascii="Arial" w:hAnsi="Arial" w:cs="Arial"/>
          <w:sz w:val="24"/>
          <w:szCs w:val="24"/>
          <w:lang w:val="fr-BE"/>
        </w:rPr>
        <w:t>Certes, l</w:t>
      </w:r>
      <w:r w:rsidR="00D94CA4" w:rsidRPr="00212D31">
        <w:rPr>
          <w:rFonts w:ascii="Arial" w:hAnsi="Arial" w:cs="Arial"/>
          <w:sz w:val="24"/>
          <w:szCs w:val="24"/>
          <w:lang w:val="fr-BE"/>
        </w:rPr>
        <w:t>es nuances subtiles</w:t>
      </w:r>
      <w:r w:rsidR="00F5554A" w:rsidRPr="00212D31">
        <w:rPr>
          <w:rFonts w:ascii="Arial" w:hAnsi="Arial" w:cs="Arial"/>
          <w:sz w:val="24"/>
          <w:szCs w:val="24"/>
          <w:lang w:val="fr-BE"/>
        </w:rPr>
        <w:t xml:space="preserve">, telles qu’on les connaît de la pratique du droit public dans les </w:t>
      </w:r>
      <w:r w:rsidR="00C86680" w:rsidRPr="00212D31">
        <w:rPr>
          <w:rFonts w:ascii="Arial" w:hAnsi="Arial" w:cs="Arial"/>
          <w:sz w:val="24"/>
          <w:szCs w:val="24"/>
          <w:lang w:val="fr-BE"/>
        </w:rPr>
        <w:t>É</w:t>
      </w:r>
      <w:r w:rsidR="00F5554A" w:rsidRPr="00212D31">
        <w:rPr>
          <w:rFonts w:ascii="Arial" w:hAnsi="Arial" w:cs="Arial"/>
          <w:sz w:val="24"/>
          <w:szCs w:val="24"/>
          <w:lang w:val="fr-BE"/>
        </w:rPr>
        <w:t xml:space="preserve">tats membres, peuvent ne pas s’être imposées au niveau de l’Union, mais il </w:t>
      </w:r>
      <w:r w:rsidR="009A74E5" w:rsidRPr="00212D31">
        <w:rPr>
          <w:rFonts w:ascii="Arial" w:hAnsi="Arial" w:cs="Arial"/>
          <w:sz w:val="24"/>
          <w:szCs w:val="24"/>
          <w:lang w:val="fr-BE"/>
        </w:rPr>
        <w:t>s’agit, pour la Cour</w:t>
      </w:r>
      <w:r w:rsidR="00A05263" w:rsidRPr="00212D31">
        <w:rPr>
          <w:rFonts w:ascii="Arial" w:hAnsi="Arial" w:cs="Arial"/>
          <w:sz w:val="24"/>
          <w:szCs w:val="24"/>
          <w:lang w:val="fr-BE"/>
        </w:rPr>
        <w:t xml:space="preserve">, </w:t>
      </w:r>
      <w:r w:rsidR="00AF34C3" w:rsidRPr="00212D31">
        <w:rPr>
          <w:rFonts w:ascii="Arial" w:hAnsi="Arial" w:cs="Arial"/>
          <w:sz w:val="24"/>
          <w:szCs w:val="24"/>
          <w:lang w:val="fr-BE"/>
        </w:rPr>
        <w:t>moins de contribuer à la</w:t>
      </w:r>
      <w:r w:rsidR="00C242C3" w:rsidRPr="00212D31">
        <w:rPr>
          <w:rFonts w:ascii="Arial" w:hAnsi="Arial" w:cs="Arial"/>
          <w:sz w:val="24"/>
          <w:szCs w:val="24"/>
          <w:lang w:val="fr-BE"/>
        </w:rPr>
        <w:t xml:space="preserve"> clarification doctrinale ou</w:t>
      </w:r>
      <w:r w:rsidR="00AF34C3" w:rsidRPr="00212D31">
        <w:rPr>
          <w:rFonts w:ascii="Arial" w:hAnsi="Arial" w:cs="Arial"/>
          <w:sz w:val="24"/>
          <w:szCs w:val="24"/>
          <w:lang w:val="fr-BE"/>
        </w:rPr>
        <w:t xml:space="preserve"> d’</w:t>
      </w:r>
      <w:r w:rsidR="00CE087B" w:rsidRPr="00212D31">
        <w:rPr>
          <w:rFonts w:ascii="Arial" w:hAnsi="Arial" w:cs="Arial"/>
          <w:sz w:val="24"/>
          <w:szCs w:val="24"/>
          <w:lang w:val="fr-BE"/>
        </w:rPr>
        <w:t>œuvrer</w:t>
      </w:r>
      <w:r w:rsidR="00AF34C3" w:rsidRPr="00212D31">
        <w:rPr>
          <w:rFonts w:ascii="Arial" w:hAnsi="Arial" w:cs="Arial"/>
          <w:sz w:val="24"/>
          <w:szCs w:val="24"/>
          <w:lang w:val="fr-BE"/>
        </w:rPr>
        <w:t xml:space="preserve"> à une codification que d’apporter une réponse au cas concret qui lui est soumis, et l’on ne peut constater aucun défic</w:t>
      </w:r>
      <w:r w:rsidR="00C242C3" w:rsidRPr="00212D31">
        <w:rPr>
          <w:rFonts w:ascii="Arial" w:hAnsi="Arial" w:cs="Arial"/>
          <w:sz w:val="24"/>
          <w:szCs w:val="24"/>
          <w:lang w:val="fr-BE"/>
        </w:rPr>
        <w:t>it notable dans sa réponse en c</w:t>
      </w:r>
      <w:r w:rsidR="00AF34C3" w:rsidRPr="00212D31">
        <w:rPr>
          <w:rFonts w:ascii="Arial" w:hAnsi="Arial" w:cs="Arial"/>
          <w:sz w:val="24"/>
          <w:szCs w:val="24"/>
          <w:lang w:val="fr-BE"/>
        </w:rPr>
        <w:t>e</w:t>
      </w:r>
      <w:r w:rsidR="00C242C3" w:rsidRPr="00212D31">
        <w:rPr>
          <w:rFonts w:ascii="Arial" w:hAnsi="Arial" w:cs="Arial"/>
          <w:sz w:val="24"/>
          <w:szCs w:val="24"/>
          <w:lang w:val="fr-BE"/>
        </w:rPr>
        <w:t xml:space="preserve"> </w:t>
      </w:r>
      <w:r w:rsidR="00AF34C3" w:rsidRPr="00212D31">
        <w:rPr>
          <w:rFonts w:ascii="Arial" w:hAnsi="Arial" w:cs="Arial"/>
          <w:sz w:val="24"/>
          <w:szCs w:val="24"/>
          <w:lang w:val="fr-BE"/>
        </w:rPr>
        <w:t>qui concerne le respect du principe de l‘</w:t>
      </w:r>
      <w:r w:rsidR="00C86680" w:rsidRPr="00212D31">
        <w:rPr>
          <w:rFonts w:ascii="Arial" w:hAnsi="Arial" w:cs="Arial"/>
          <w:sz w:val="24"/>
          <w:szCs w:val="24"/>
          <w:lang w:val="fr-BE"/>
        </w:rPr>
        <w:t>É</w:t>
      </w:r>
      <w:r w:rsidR="00AF34C3" w:rsidRPr="00212D31">
        <w:rPr>
          <w:rFonts w:ascii="Arial" w:hAnsi="Arial" w:cs="Arial"/>
          <w:sz w:val="24"/>
          <w:szCs w:val="24"/>
          <w:lang w:val="fr-BE"/>
        </w:rPr>
        <w:t>tat de droit.</w:t>
      </w:r>
      <w:r w:rsidR="000A223C" w:rsidRPr="00212D31">
        <w:rPr>
          <w:rFonts w:ascii="Arial" w:hAnsi="Arial" w:cs="Arial"/>
          <w:sz w:val="24"/>
          <w:szCs w:val="24"/>
          <w:lang w:val="fr-BE"/>
        </w:rPr>
        <w:t xml:space="preserve"> </w:t>
      </w:r>
    </w:p>
    <w:p w14:paraId="1E6B64E4" w14:textId="77777777" w:rsidR="00212D31" w:rsidRPr="00212D31" w:rsidRDefault="00212D31" w:rsidP="00212D31">
      <w:pPr>
        <w:spacing w:after="0" w:line="240" w:lineRule="auto"/>
        <w:jc w:val="both"/>
        <w:rPr>
          <w:rFonts w:ascii="Arial" w:hAnsi="Arial" w:cs="Arial"/>
          <w:sz w:val="24"/>
          <w:szCs w:val="24"/>
          <w:lang w:val="fr-BE"/>
        </w:rPr>
      </w:pPr>
    </w:p>
    <w:p w14:paraId="3C8158BC" w14:textId="099482D6" w:rsidR="008554F2" w:rsidRDefault="008445CC"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 xml:space="preserve">Si </w:t>
      </w:r>
      <w:r w:rsidR="008554F2" w:rsidRPr="00212D31">
        <w:rPr>
          <w:rFonts w:ascii="Arial" w:hAnsi="Arial" w:cs="Arial"/>
          <w:sz w:val="24"/>
          <w:szCs w:val="24"/>
          <w:lang w:val="fr-BE"/>
        </w:rPr>
        <w:t>nous nous ré</w:t>
      </w:r>
      <w:r w:rsidR="00C86680" w:rsidRPr="00212D31">
        <w:rPr>
          <w:rFonts w:ascii="Arial" w:hAnsi="Arial" w:cs="Arial"/>
          <w:sz w:val="24"/>
          <w:szCs w:val="24"/>
          <w:lang w:val="fr-BE"/>
        </w:rPr>
        <w:t>férons au concept moderne de l’É</w:t>
      </w:r>
      <w:r w:rsidR="008554F2" w:rsidRPr="00212D31">
        <w:rPr>
          <w:rFonts w:ascii="Arial" w:hAnsi="Arial" w:cs="Arial"/>
          <w:sz w:val="24"/>
          <w:szCs w:val="24"/>
          <w:lang w:val="fr-BE"/>
        </w:rPr>
        <w:t>tat de droit pour étayer ce propos, nous nous heurtons à la difficulté suivan</w:t>
      </w:r>
      <w:r w:rsidR="00C86680" w:rsidRPr="00212D31">
        <w:rPr>
          <w:rFonts w:ascii="Arial" w:hAnsi="Arial" w:cs="Arial"/>
          <w:sz w:val="24"/>
          <w:szCs w:val="24"/>
          <w:lang w:val="fr-BE"/>
        </w:rPr>
        <w:t xml:space="preserve">te: la réflexion </w:t>
      </w:r>
      <w:r w:rsidR="00955B18" w:rsidRPr="00212D31">
        <w:rPr>
          <w:rFonts w:ascii="Arial" w:hAnsi="Arial" w:cs="Arial"/>
          <w:sz w:val="24"/>
          <w:szCs w:val="24"/>
          <w:lang w:val="fr-BE"/>
        </w:rPr>
        <w:t>théorique sur le concept d’</w:t>
      </w:r>
      <w:r w:rsidR="00C86680" w:rsidRPr="00212D31">
        <w:rPr>
          <w:rFonts w:ascii="Arial" w:hAnsi="Arial" w:cs="Arial"/>
          <w:sz w:val="24"/>
          <w:szCs w:val="24"/>
          <w:lang w:val="fr-BE"/>
        </w:rPr>
        <w:t>É</w:t>
      </w:r>
      <w:r w:rsidR="008554F2" w:rsidRPr="00212D31">
        <w:rPr>
          <w:rFonts w:ascii="Arial" w:hAnsi="Arial" w:cs="Arial"/>
          <w:sz w:val="24"/>
          <w:szCs w:val="24"/>
          <w:lang w:val="fr-BE"/>
        </w:rPr>
        <w:t xml:space="preserve">tat de droit </w:t>
      </w:r>
      <w:r w:rsidR="00C86680" w:rsidRPr="00212D31">
        <w:rPr>
          <w:rFonts w:ascii="Arial" w:hAnsi="Arial" w:cs="Arial"/>
          <w:sz w:val="24"/>
          <w:szCs w:val="24"/>
          <w:lang w:val="fr-BE"/>
        </w:rPr>
        <w:t xml:space="preserve">est </w:t>
      </w:r>
      <w:r w:rsidR="00955B18" w:rsidRPr="00212D31">
        <w:rPr>
          <w:rFonts w:ascii="Arial" w:hAnsi="Arial" w:cs="Arial"/>
          <w:sz w:val="24"/>
          <w:szCs w:val="24"/>
          <w:lang w:val="fr-BE"/>
        </w:rPr>
        <w:t>très</w:t>
      </w:r>
      <w:r w:rsidR="00C86680" w:rsidRPr="00212D31">
        <w:rPr>
          <w:rFonts w:ascii="Arial" w:hAnsi="Arial" w:cs="Arial"/>
          <w:sz w:val="24"/>
          <w:szCs w:val="24"/>
          <w:lang w:val="fr-BE"/>
        </w:rPr>
        <w:t xml:space="preserve"> avancée dans certains É</w:t>
      </w:r>
      <w:r w:rsidR="008554F2" w:rsidRPr="00212D31">
        <w:rPr>
          <w:rFonts w:ascii="Arial" w:hAnsi="Arial" w:cs="Arial"/>
          <w:sz w:val="24"/>
          <w:szCs w:val="24"/>
          <w:lang w:val="fr-BE"/>
        </w:rPr>
        <w:t xml:space="preserve">tats membres, mais </w:t>
      </w:r>
      <w:r w:rsidR="00955B18" w:rsidRPr="00212D31">
        <w:rPr>
          <w:rFonts w:ascii="Arial" w:hAnsi="Arial" w:cs="Arial"/>
          <w:sz w:val="24"/>
          <w:szCs w:val="24"/>
          <w:lang w:val="fr-BE"/>
        </w:rPr>
        <w:t xml:space="preserve">n’a </w:t>
      </w:r>
      <w:r w:rsidR="008554F2" w:rsidRPr="00212D31">
        <w:rPr>
          <w:rFonts w:ascii="Arial" w:hAnsi="Arial" w:cs="Arial"/>
          <w:sz w:val="24"/>
          <w:szCs w:val="24"/>
          <w:lang w:val="fr-BE"/>
        </w:rPr>
        <w:t xml:space="preserve">pas </w:t>
      </w:r>
      <w:r w:rsidR="00955B18" w:rsidRPr="00212D31">
        <w:rPr>
          <w:rFonts w:ascii="Arial" w:hAnsi="Arial" w:cs="Arial"/>
          <w:sz w:val="24"/>
          <w:szCs w:val="24"/>
          <w:lang w:val="fr-BE"/>
        </w:rPr>
        <w:t xml:space="preserve">encore </w:t>
      </w:r>
      <w:r w:rsidR="008554F2" w:rsidRPr="00212D31">
        <w:rPr>
          <w:rFonts w:ascii="Arial" w:hAnsi="Arial" w:cs="Arial"/>
          <w:sz w:val="24"/>
          <w:szCs w:val="24"/>
          <w:lang w:val="fr-BE"/>
        </w:rPr>
        <w:t>abouti, ce qui a pour conséquence qu‘il n’</w:t>
      </w:r>
      <w:r w:rsidR="00955B18" w:rsidRPr="00212D31">
        <w:rPr>
          <w:rFonts w:ascii="Arial" w:hAnsi="Arial" w:cs="Arial"/>
          <w:sz w:val="24"/>
          <w:szCs w:val="24"/>
          <w:lang w:val="fr-BE"/>
        </w:rPr>
        <w:t>émerge</w:t>
      </w:r>
      <w:r w:rsidR="008554F2" w:rsidRPr="00212D31">
        <w:rPr>
          <w:rFonts w:ascii="Arial" w:hAnsi="Arial" w:cs="Arial"/>
          <w:sz w:val="24"/>
          <w:szCs w:val="24"/>
          <w:lang w:val="fr-BE"/>
        </w:rPr>
        <w:t xml:space="preserve"> pas de concept uni</w:t>
      </w:r>
      <w:r w:rsidR="00955B18" w:rsidRPr="00212D31">
        <w:rPr>
          <w:rFonts w:ascii="Arial" w:hAnsi="Arial" w:cs="Arial"/>
          <w:sz w:val="24"/>
          <w:szCs w:val="24"/>
          <w:lang w:val="fr-BE"/>
        </w:rPr>
        <w:t>que</w:t>
      </w:r>
      <w:r w:rsidR="008554F2" w:rsidRPr="00212D31">
        <w:rPr>
          <w:rFonts w:ascii="Arial" w:hAnsi="Arial" w:cs="Arial"/>
          <w:sz w:val="24"/>
          <w:szCs w:val="24"/>
          <w:lang w:val="fr-BE"/>
        </w:rPr>
        <w:t>. Si l’on ajoute à cela que la discussion portant sur les divers éléments de l’</w:t>
      </w:r>
      <w:r w:rsidR="00C86680" w:rsidRPr="00212D31">
        <w:rPr>
          <w:rFonts w:ascii="Arial" w:hAnsi="Arial" w:cs="Arial"/>
          <w:sz w:val="24"/>
          <w:szCs w:val="24"/>
          <w:lang w:val="fr-BE"/>
        </w:rPr>
        <w:t>É</w:t>
      </w:r>
      <w:r w:rsidR="008554F2" w:rsidRPr="00212D31">
        <w:rPr>
          <w:rFonts w:ascii="Arial" w:hAnsi="Arial" w:cs="Arial"/>
          <w:sz w:val="24"/>
          <w:szCs w:val="24"/>
          <w:lang w:val="fr-BE"/>
        </w:rPr>
        <w:t xml:space="preserve">tat de droit n’est pas menée partout avec la même intensité, il apparaît de manière évidente que </w:t>
      </w:r>
      <w:r w:rsidR="00955B18" w:rsidRPr="00212D31">
        <w:rPr>
          <w:rFonts w:ascii="Arial" w:hAnsi="Arial" w:cs="Arial"/>
          <w:sz w:val="24"/>
          <w:szCs w:val="24"/>
          <w:lang w:val="fr-BE"/>
        </w:rPr>
        <w:t>toute</w:t>
      </w:r>
      <w:r w:rsidR="008554F2" w:rsidRPr="00212D31">
        <w:rPr>
          <w:rFonts w:ascii="Arial" w:hAnsi="Arial" w:cs="Arial"/>
          <w:sz w:val="24"/>
          <w:szCs w:val="24"/>
          <w:lang w:val="fr-BE"/>
        </w:rPr>
        <w:t xml:space="preserve"> tentative de regrouper des </w:t>
      </w:r>
      <w:r w:rsidR="00955B18" w:rsidRPr="00212D31">
        <w:rPr>
          <w:rFonts w:ascii="Arial" w:hAnsi="Arial" w:cs="Arial"/>
          <w:sz w:val="24"/>
          <w:szCs w:val="24"/>
          <w:lang w:val="fr-BE"/>
        </w:rPr>
        <w:t>acquis</w:t>
      </w:r>
      <w:r w:rsidR="008554F2" w:rsidRPr="00212D31">
        <w:rPr>
          <w:rFonts w:ascii="Arial" w:hAnsi="Arial" w:cs="Arial"/>
          <w:sz w:val="24"/>
          <w:szCs w:val="24"/>
          <w:lang w:val="fr-BE"/>
        </w:rPr>
        <w:t xml:space="preserve"> du droit de l’Union </w:t>
      </w:r>
      <w:r w:rsidR="00C86680" w:rsidRPr="00212D31">
        <w:rPr>
          <w:rFonts w:ascii="Arial" w:hAnsi="Arial" w:cs="Arial"/>
          <w:sz w:val="24"/>
          <w:szCs w:val="24"/>
          <w:lang w:val="fr-BE"/>
        </w:rPr>
        <w:t>sous un concept universel d’É</w:t>
      </w:r>
      <w:r w:rsidR="008554F2" w:rsidRPr="00212D31">
        <w:rPr>
          <w:rFonts w:ascii="Arial" w:hAnsi="Arial" w:cs="Arial"/>
          <w:sz w:val="24"/>
          <w:szCs w:val="24"/>
          <w:lang w:val="fr-BE"/>
        </w:rPr>
        <w:t>tat de droit ne devrait être menée qu’avec la plus grande prudence. Je crois néanmoins qu</w:t>
      </w:r>
      <w:r w:rsidR="00955B18" w:rsidRPr="00212D31">
        <w:rPr>
          <w:rFonts w:ascii="Arial" w:hAnsi="Arial" w:cs="Arial"/>
          <w:sz w:val="24"/>
          <w:szCs w:val="24"/>
          <w:lang w:val="fr-BE"/>
        </w:rPr>
        <w:t>e cette tentative mérite d’être menée</w:t>
      </w:r>
      <w:r w:rsidR="008554F2" w:rsidRPr="00212D31">
        <w:rPr>
          <w:rFonts w:ascii="Arial" w:hAnsi="Arial" w:cs="Arial"/>
          <w:sz w:val="24"/>
          <w:szCs w:val="24"/>
          <w:lang w:val="fr-BE"/>
        </w:rPr>
        <w:t xml:space="preserve">, afin de montrer que même en l’absence d’un concept unifié de </w:t>
      </w:r>
      <w:r w:rsidR="00C86680" w:rsidRPr="00212D31">
        <w:rPr>
          <w:rFonts w:ascii="Arial" w:hAnsi="Arial" w:cs="Arial"/>
          <w:sz w:val="24"/>
          <w:szCs w:val="24"/>
          <w:lang w:val="fr-BE"/>
        </w:rPr>
        <w:t>l’É</w:t>
      </w:r>
      <w:r w:rsidR="008554F2" w:rsidRPr="00212D31">
        <w:rPr>
          <w:rFonts w:ascii="Arial" w:hAnsi="Arial" w:cs="Arial"/>
          <w:sz w:val="24"/>
          <w:szCs w:val="24"/>
          <w:lang w:val="fr-BE"/>
        </w:rPr>
        <w:t>tat de droit, ses valeurs intrinsèques sont en grande partie ancrées dans le droit de l’Union.</w:t>
      </w:r>
    </w:p>
    <w:p w14:paraId="190A4749" w14:textId="77777777" w:rsidR="00212D31" w:rsidRPr="00212D31" w:rsidRDefault="00212D31" w:rsidP="00212D31">
      <w:pPr>
        <w:spacing w:after="0" w:line="240" w:lineRule="auto"/>
        <w:jc w:val="both"/>
        <w:rPr>
          <w:rFonts w:ascii="Arial" w:hAnsi="Arial" w:cs="Arial"/>
          <w:sz w:val="24"/>
          <w:szCs w:val="24"/>
          <w:lang w:val="fr-BE"/>
        </w:rPr>
      </w:pPr>
    </w:p>
    <w:p w14:paraId="4936052E" w14:textId="29CE0305" w:rsidR="008554F2" w:rsidRDefault="008554F2"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Dans la langue de la Cour, il s’agit essentiellement de</w:t>
      </w:r>
      <w:r w:rsidR="00857450" w:rsidRPr="00212D31">
        <w:rPr>
          <w:rFonts w:ascii="Arial" w:hAnsi="Arial" w:cs="Arial"/>
          <w:sz w:val="24"/>
          <w:szCs w:val="24"/>
          <w:lang w:val="fr-BE"/>
        </w:rPr>
        <w:t xml:space="preserve"> ce que l’on y nomme</w:t>
      </w:r>
      <w:r w:rsidRPr="00212D31">
        <w:rPr>
          <w:rFonts w:ascii="Arial" w:hAnsi="Arial" w:cs="Arial"/>
          <w:sz w:val="24"/>
          <w:szCs w:val="24"/>
          <w:lang w:val="fr-BE"/>
        </w:rPr>
        <w:t xml:space="preserve"> principes généraux [du droit], parmi lesquels on peut reconnaître des principes juridiques fon</w:t>
      </w:r>
      <w:r w:rsidR="00C86680" w:rsidRPr="00212D31">
        <w:rPr>
          <w:rFonts w:ascii="Arial" w:hAnsi="Arial" w:cs="Arial"/>
          <w:sz w:val="24"/>
          <w:szCs w:val="24"/>
          <w:lang w:val="fr-BE"/>
        </w:rPr>
        <w:t>damentaux étroitement liés à l’É</w:t>
      </w:r>
      <w:r w:rsidRPr="00212D31">
        <w:rPr>
          <w:rFonts w:ascii="Arial" w:hAnsi="Arial" w:cs="Arial"/>
          <w:sz w:val="24"/>
          <w:szCs w:val="24"/>
          <w:lang w:val="fr-BE"/>
        </w:rPr>
        <w:t>tat de droit</w:t>
      </w:r>
      <w:r w:rsidR="000D3BD1" w:rsidRPr="00212D31">
        <w:rPr>
          <w:rStyle w:val="Appelnotedebasdep"/>
          <w:rFonts w:ascii="Arial" w:hAnsi="Arial" w:cs="Arial"/>
          <w:sz w:val="24"/>
          <w:szCs w:val="24"/>
          <w:lang w:val="fr-BE"/>
        </w:rPr>
        <w:footnoteReference w:id="16"/>
      </w:r>
      <w:r w:rsidRPr="00212D31">
        <w:rPr>
          <w:rFonts w:ascii="Arial" w:hAnsi="Arial" w:cs="Arial"/>
          <w:sz w:val="24"/>
          <w:szCs w:val="24"/>
          <w:lang w:val="fr-BE"/>
        </w:rPr>
        <w:t>. Il ne faut par exemple pas oublier que jusqu’à l’entrée en vigueur de la Charte des droits fondamentaux dans la foulée du traité de Lisbonne, les droits fondamentaux qui y sont aujourd’hui protégés</w:t>
      </w:r>
      <w:r w:rsidR="00240DED" w:rsidRPr="00212D31">
        <w:rPr>
          <w:rFonts w:ascii="Arial" w:hAnsi="Arial" w:cs="Arial"/>
          <w:sz w:val="24"/>
          <w:szCs w:val="24"/>
          <w:lang w:val="fr-BE"/>
        </w:rPr>
        <w:t>,</w:t>
      </w:r>
      <w:r w:rsidR="00CE087B" w:rsidRPr="00212D31">
        <w:rPr>
          <w:rFonts w:ascii="Arial" w:hAnsi="Arial" w:cs="Arial"/>
          <w:sz w:val="24"/>
          <w:szCs w:val="24"/>
          <w:lang w:val="fr-BE"/>
        </w:rPr>
        <w:t xml:space="preserve"> sont </w:t>
      </w:r>
      <w:r w:rsidR="00CE087B" w:rsidRPr="00212D31">
        <w:rPr>
          <w:rFonts w:ascii="Arial" w:hAnsi="Arial" w:cs="Arial"/>
          <w:sz w:val="24"/>
          <w:szCs w:val="24"/>
          <w:lang w:val="fr-BE"/>
        </w:rPr>
        <w:lastRenderedPageBreak/>
        <w:t xml:space="preserve">nés et se sont développés </w:t>
      </w:r>
      <w:r w:rsidR="00857450" w:rsidRPr="00212D31">
        <w:rPr>
          <w:rFonts w:ascii="Arial" w:hAnsi="Arial" w:cs="Arial"/>
          <w:sz w:val="24"/>
          <w:szCs w:val="24"/>
          <w:lang w:val="fr-BE"/>
        </w:rPr>
        <w:t>dans</w:t>
      </w:r>
      <w:r w:rsidR="00240DED" w:rsidRPr="00212D31">
        <w:rPr>
          <w:rFonts w:ascii="Arial" w:hAnsi="Arial" w:cs="Arial"/>
          <w:sz w:val="24"/>
          <w:szCs w:val="24"/>
          <w:lang w:val="fr-BE"/>
        </w:rPr>
        <w:t xml:space="preserve"> la jurisprudence de la Cour</w:t>
      </w:r>
      <w:r w:rsidRPr="00212D31">
        <w:rPr>
          <w:rFonts w:ascii="Arial" w:hAnsi="Arial" w:cs="Arial"/>
          <w:sz w:val="24"/>
          <w:szCs w:val="24"/>
          <w:lang w:val="fr-BE"/>
        </w:rPr>
        <w:t xml:space="preserve"> en tant que principes généraux. Le même processus a été à l’</w:t>
      </w:r>
      <w:r w:rsidR="00F13206" w:rsidRPr="00212D31">
        <w:rPr>
          <w:rFonts w:ascii="Arial" w:hAnsi="Arial" w:cs="Arial"/>
          <w:sz w:val="24"/>
          <w:szCs w:val="24"/>
          <w:lang w:val="fr-BE"/>
        </w:rPr>
        <w:t>œuvre</w:t>
      </w:r>
      <w:r w:rsidRPr="00212D31">
        <w:rPr>
          <w:rFonts w:ascii="Arial" w:hAnsi="Arial" w:cs="Arial"/>
          <w:sz w:val="24"/>
          <w:szCs w:val="24"/>
          <w:lang w:val="fr-BE"/>
        </w:rPr>
        <w:t xml:space="preserve"> pour des principes qui sont aujourd’hui inscrits dans le droit primaire, à l’instar du principe de </w:t>
      </w:r>
      <w:r w:rsidR="00CE087B" w:rsidRPr="00212D31">
        <w:rPr>
          <w:rFonts w:ascii="Arial" w:hAnsi="Arial" w:cs="Arial"/>
          <w:sz w:val="24"/>
          <w:szCs w:val="24"/>
          <w:lang w:val="fr-BE"/>
        </w:rPr>
        <w:t>proportionnalité</w:t>
      </w:r>
      <w:r w:rsidRPr="00212D31">
        <w:rPr>
          <w:rFonts w:ascii="Arial" w:hAnsi="Arial" w:cs="Arial"/>
          <w:sz w:val="24"/>
          <w:szCs w:val="24"/>
          <w:vertAlign w:val="superscript"/>
          <w:lang w:val="fr-BE"/>
        </w:rPr>
        <w:footnoteReference w:id="17"/>
      </w:r>
      <w:r w:rsidRPr="00212D31">
        <w:rPr>
          <w:rFonts w:ascii="Arial" w:hAnsi="Arial" w:cs="Arial"/>
          <w:sz w:val="24"/>
          <w:szCs w:val="24"/>
          <w:lang w:val="fr-BE"/>
        </w:rPr>
        <w:t xml:space="preserve">, de protection de la confiance </w:t>
      </w:r>
      <w:r w:rsidR="00CE087B" w:rsidRPr="00212D31">
        <w:rPr>
          <w:rFonts w:ascii="Arial" w:hAnsi="Arial" w:cs="Arial"/>
          <w:sz w:val="24"/>
          <w:szCs w:val="24"/>
          <w:lang w:val="fr-BE"/>
        </w:rPr>
        <w:t>légitime</w:t>
      </w:r>
      <w:r w:rsidRPr="00212D31">
        <w:rPr>
          <w:rFonts w:ascii="Arial" w:hAnsi="Arial" w:cs="Arial"/>
          <w:sz w:val="24"/>
          <w:szCs w:val="24"/>
          <w:vertAlign w:val="superscript"/>
          <w:lang w:val="fr-BE"/>
        </w:rPr>
        <w:footnoteReference w:id="18"/>
      </w:r>
      <w:r w:rsidRPr="00212D31">
        <w:rPr>
          <w:rFonts w:ascii="Arial" w:hAnsi="Arial" w:cs="Arial"/>
          <w:sz w:val="24"/>
          <w:szCs w:val="24"/>
          <w:lang w:val="fr-BE"/>
        </w:rPr>
        <w:t xml:space="preserve">, de sécurité </w:t>
      </w:r>
      <w:r w:rsidR="00CE087B" w:rsidRPr="00212D31">
        <w:rPr>
          <w:rFonts w:ascii="Arial" w:hAnsi="Arial" w:cs="Arial"/>
          <w:sz w:val="24"/>
          <w:szCs w:val="24"/>
          <w:lang w:val="fr-BE"/>
        </w:rPr>
        <w:t>juridique</w:t>
      </w:r>
      <w:r w:rsidRPr="00212D31">
        <w:rPr>
          <w:rFonts w:ascii="Arial" w:hAnsi="Arial" w:cs="Arial"/>
          <w:sz w:val="24"/>
          <w:szCs w:val="24"/>
          <w:vertAlign w:val="superscript"/>
          <w:lang w:val="fr-BE"/>
        </w:rPr>
        <w:footnoteReference w:id="19"/>
      </w:r>
      <w:r w:rsidRPr="00212D31">
        <w:rPr>
          <w:rFonts w:ascii="Arial" w:hAnsi="Arial" w:cs="Arial"/>
          <w:sz w:val="24"/>
          <w:szCs w:val="24"/>
          <w:lang w:val="fr-BE"/>
        </w:rPr>
        <w:t>, (général) de légalité</w:t>
      </w:r>
      <w:r w:rsidRPr="00212D31">
        <w:rPr>
          <w:rFonts w:ascii="Arial" w:hAnsi="Arial" w:cs="Arial"/>
          <w:sz w:val="24"/>
          <w:szCs w:val="24"/>
          <w:vertAlign w:val="superscript"/>
          <w:lang w:val="fr-BE"/>
        </w:rPr>
        <w:footnoteReference w:id="20"/>
      </w:r>
      <w:r w:rsidRPr="00212D31">
        <w:rPr>
          <w:rFonts w:ascii="Arial" w:hAnsi="Arial" w:cs="Arial"/>
          <w:sz w:val="24"/>
          <w:szCs w:val="24"/>
          <w:lang w:val="fr-BE"/>
        </w:rPr>
        <w:t xml:space="preserve"> et d’une série de garanties juridiques connues du droit pénal telles que le principe „ne bis in idem“</w:t>
      </w:r>
      <w:r w:rsidRPr="00212D31">
        <w:rPr>
          <w:rFonts w:ascii="Arial" w:hAnsi="Arial" w:cs="Arial"/>
          <w:sz w:val="24"/>
          <w:szCs w:val="24"/>
          <w:vertAlign w:val="superscript"/>
          <w:lang w:val="fr-BE"/>
        </w:rPr>
        <w:footnoteReference w:id="21"/>
      </w:r>
      <w:r w:rsidRPr="00212D31">
        <w:rPr>
          <w:rFonts w:ascii="Arial" w:hAnsi="Arial" w:cs="Arial"/>
          <w:sz w:val="24"/>
          <w:szCs w:val="24"/>
          <w:lang w:val="fr-BE"/>
        </w:rPr>
        <w:t xml:space="preserve"> ou celui de l’application rétroactive de la peine plus légère</w:t>
      </w:r>
      <w:r w:rsidRPr="00212D31">
        <w:rPr>
          <w:rFonts w:ascii="Arial" w:hAnsi="Arial" w:cs="Arial"/>
          <w:sz w:val="24"/>
          <w:szCs w:val="24"/>
          <w:vertAlign w:val="superscript"/>
          <w:lang w:val="fr-BE"/>
        </w:rPr>
        <w:footnoteReference w:id="22"/>
      </w:r>
      <w:r w:rsidRPr="00212D31">
        <w:rPr>
          <w:rFonts w:ascii="Arial" w:hAnsi="Arial" w:cs="Arial"/>
          <w:sz w:val="24"/>
          <w:szCs w:val="24"/>
          <w:lang w:val="fr-BE"/>
        </w:rPr>
        <w:t xml:space="preserve">. Relève également de ces principes l’exigence d’une protection juridictionnelle effective, qui se trouve au </w:t>
      </w:r>
      <w:r w:rsidR="00CE087B" w:rsidRPr="00212D31">
        <w:rPr>
          <w:rFonts w:ascii="Arial" w:hAnsi="Arial" w:cs="Arial"/>
          <w:sz w:val="24"/>
          <w:szCs w:val="24"/>
          <w:lang w:val="fr-BE"/>
        </w:rPr>
        <w:t>cœur</w:t>
      </w:r>
      <w:r w:rsidRPr="00212D31">
        <w:rPr>
          <w:rFonts w:ascii="Arial" w:hAnsi="Arial" w:cs="Arial"/>
          <w:sz w:val="24"/>
          <w:szCs w:val="24"/>
          <w:lang w:val="fr-BE"/>
        </w:rPr>
        <w:t xml:space="preserve"> de la jurisprudence de la Cour</w:t>
      </w:r>
      <w:r w:rsidR="008B3B03" w:rsidRPr="00212D31">
        <w:rPr>
          <w:rStyle w:val="Appelnotedebasdep"/>
          <w:rFonts w:ascii="Arial" w:hAnsi="Arial" w:cs="Arial"/>
          <w:sz w:val="24"/>
          <w:szCs w:val="24"/>
          <w:lang w:val="fr-BE"/>
        </w:rPr>
        <w:footnoteReference w:id="23"/>
      </w:r>
      <w:r w:rsidRPr="00212D31">
        <w:rPr>
          <w:rFonts w:ascii="Arial" w:hAnsi="Arial" w:cs="Arial"/>
          <w:sz w:val="24"/>
          <w:szCs w:val="24"/>
          <w:lang w:val="fr-BE"/>
        </w:rPr>
        <w:t xml:space="preserve">. Cette exigence vise à l’établissement d’un système complet de voies de recours, si possible sans faille, afin d’assurer la mise en </w:t>
      </w:r>
      <w:r w:rsidR="00CE087B" w:rsidRPr="00212D31">
        <w:rPr>
          <w:rFonts w:ascii="Arial" w:hAnsi="Arial" w:cs="Arial"/>
          <w:sz w:val="24"/>
          <w:szCs w:val="24"/>
          <w:lang w:val="fr-BE"/>
        </w:rPr>
        <w:t>œuvre</w:t>
      </w:r>
      <w:r w:rsidRPr="00212D31">
        <w:rPr>
          <w:rFonts w:ascii="Arial" w:hAnsi="Arial" w:cs="Arial"/>
          <w:sz w:val="24"/>
          <w:szCs w:val="24"/>
          <w:lang w:val="fr-BE"/>
        </w:rPr>
        <w:t xml:space="preserve"> du droit de l’Union</w:t>
      </w:r>
      <w:r w:rsidRPr="00212D31">
        <w:rPr>
          <w:rFonts w:ascii="Arial" w:hAnsi="Arial" w:cs="Arial"/>
          <w:sz w:val="24"/>
          <w:szCs w:val="24"/>
          <w:vertAlign w:val="superscript"/>
          <w:lang w:val="fr-BE"/>
        </w:rPr>
        <w:footnoteReference w:id="24"/>
      </w:r>
      <w:r w:rsidRPr="00212D31">
        <w:rPr>
          <w:rFonts w:ascii="Arial" w:hAnsi="Arial" w:cs="Arial"/>
          <w:sz w:val="24"/>
          <w:szCs w:val="24"/>
          <w:lang w:val="fr-BE"/>
        </w:rPr>
        <w:t>.</w:t>
      </w:r>
    </w:p>
    <w:p w14:paraId="3A5D87CC" w14:textId="77777777" w:rsidR="00212D31" w:rsidRPr="00212D31" w:rsidRDefault="00212D31" w:rsidP="00212D31">
      <w:pPr>
        <w:spacing w:after="0" w:line="240" w:lineRule="auto"/>
        <w:jc w:val="both"/>
        <w:rPr>
          <w:rFonts w:ascii="Arial" w:hAnsi="Arial" w:cs="Arial"/>
          <w:sz w:val="24"/>
          <w:szCs w:val="24"/>
          <w:lang w:val="fr-BE"/>
        </w:rPr>
      </w:pPr>
    </w:p>
    <w:p w14:paraId="0D7A63DA" w14:textId="192AC91F" w:rsidR="00F63C9F" w:rsidRDefault="008554F2"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Au regard de cet ancrage solide dans le droit de l’Unio</w:t>
      </w:r>
      <w:r w:rsidR="00C86680" w:rsidRPr="00212D31">
        <w:rPr>
          <w:rFonts w:ascii="Arial" w:hAnsi="Arial" w:cs="Arial"/>
          <w:sz w:val="24"/>
          <w:szCs w:val="24"/>
          <w:lang w:val="fr-BE"/>
        </w:rPr>
        <w:t>n des éléments fondateurs de l’É</w:t>
      </w:r>
      <w:r w:rsidRPr="00212D31">
        <w:rPr>
          <w:rFonts w:ascii="Arial" w:hAnsi="Arial" w:cs="Arial"/>
          <w:sz w:val="24"/>
          <w:szCs w:val="24"/>
          <w:lang w:val="fr-BE"/>
        </w:rPr>
        <w:t>tat de droit, l’on peut légitimement se poser la question de savoir pourquoi</w:t>
      </w:r>
      <w:r w:rsidR="00C86680" w:rsidRPr="00212D31">
        <w:rPr>
          <w:rFonts w:ascii="Arial" w:hAnsi="Arial" w:cs="Arial"/>
          <w:sz w:val="24"/>
          <w:szCs w:val="24"/>
          <w:lang w:val="fr-BE"/>
        </w:rPr>
        <w:t xml:space="preserve"> le lien avec le principe de l’É</w:t>
      </w:r>
      <w:r w:rsidRPr="00212D31">
        <w:rPr>
          <w:rFonts w:ascii="Arial" w:hAnsi="Arial" w:cs="Arial"/>
          <w:sz w:val="24"/>
          <w:szCs w:val="24"/>
          <w:lang w:val="fr-BE"/>
        </w:rPr>
        <w:t>tat de droit n’y est pas manifesté plus expressément ou plus fréquemment, ou encore pourquoi ce principe ne constitue pas en lui-même un élément du contrôle juridictionnel opéré par la Cour. Y-a-t-il une raison particulière pour cette attitude réservée de la Cour à l’égard d’une qualification générale de l’Union européenne e</w:t>
      </w:r>
      <w:r w:rsidR="00C86680" w:rsidRPr="00212D31">
        <w:rPr>
          <w:rFonts w:ascii="Arial" w:hAnsi="Arial" w:cs="Arial"/>
          <w:sz w:val="24"/>
          <w:szCs w:val="24"/>
          <w:lang w:val="fr-BE"/>
        </w:rPr>
        <w:t>n tant qu’entité relevant de l’É</w:t>
      </w:r>
      <w:r w:rsidRPr="00212D31">
        <w:rPr>
          <w:rFonts w:ascii="Arial" w:hAnsi="Arial" w:cs="Arial"/>
          <w:sz w:val="24"/>
          <w:szCs w:val="24"/>
          <w:lang w:val="fr-BE"/>
        </w:rPr>
        <w:t>tat de droit, entité dont dériveraient droits et obligations? Attendre toutefois de la Cour de justice qu’elle déve</w:t>
      </w:r>
      <w:r w:rsidR="00C86680" w:rsidRPr="00212D31">
        <w:rPr>
          <w:rFonts w:ascii="Arial" w:hAnsi="Arial" w:cs="Arial"/>
          <w:sz w:val="24"/>
          <w:szCs w:val="24"/>
          <w:lang w:val="fr-BE"/>
        </w:rPr>
        <w:t>loppe un concept européen de l’É</w:t>
      </w:r>
      <w:r w:rsidRPr="00212D31">
        <w:rPr>
          <w:rFonts w:ascii="Arial" w:hAnsi="Arial" w:cs="Arial"/>
          <w:sz w:val="24"/>
          <w:szCs w:val="24"/>
          <w:lang w:val="fr-BE"/>
        </w:rPr>
        <w:t>tat de droit reviendrait à lui attribuer une tâche qui ne lui est pas confiée. La Cour remplit la tâche qui lui est assignée par l’article 19, pa</w:t>
      </w:r>
      <w:r w:rsidR="001857E4" w:rsidRPr="00212D31">
        <w:rPr>
          <w:rFonts w:ascii="Arial" w:hAnsi="Arial" w:cs="Arial"/>
          <w:sz w:val="24"/>
          <w:szCs w:val="24"/>
          <w:lang w:val="fr-BE"/>
        </w:rPr>
        <w:t>ragraphe 1, deuxième phrase du T</w:t>
      </w:r>
      <w:r w:rsidRPr="00212D31">
        <w:rPr>
          <w:rFonts w:ascii="Arial" w:hAnsi="Arial" w:cs="Arial"/>
          <w:sz w:val="24"/>
          <w:szCs w:val="24"/>
          <w:lang w:val="fr-BE"/>
        </w:rPr>
        <w:t>raité</w:t>
      </w:r>
      <w:r w:rsidR="001857E4" w:rsidRPr="00212D31">
        <w:rPr>
          <w:rFonts w:ascii="Arial" w:hAnsi="Arial" w:cs="Arial"/>
          <w:sz w:val="24"/>
          <w:szCs w:val="24"/>
          <w:lang w:val="fr-BE"/>
        </w:rPr>
        <w:t xml:space="preserve"> sur l’Union européenne</w:t>
      </w:r>
      <w:r w:rsidRPr="00212D31">
        <w:rPr>
          <w:rFonts w:ascii="Arial" w:hAnsi="Arial" w:cs="Arial"/>
          <w:sz w:val="24"/>
          <w:szCs w:val="24"/>
          <w:lang w:val="fr-BE"/>
        </w:rPr>
        <w:t xml:space="preserve">, à savoir „assurer le respect du droit dans l’interprétation et l’application des traités“ en tranchant des litiges ou encore en répondant à des renvois préjudiciels qui portent tous les deux sur des faits concrets. Ce faisant, la Cour agit avec précaution: elle limite sa motivation au minimum requis afin d’éviter, d’une part, de trop peser sur d’éventuelles évolutions jurisprudentielles futures, et, d’autre part, d‘influencer les ordres juridiques nationaux au-delà du strict nécessaire. Les débats théoriques sur les modèles convenant le mieux à l’Europe ne seraient pas appropriés et contribueraient à alourdir considérablement </w:t>
      </w:r>
      <w:r w:rsidR="004B2802" w:rsidRPr="00212D31">
        <w:rPr>
          <w:rFonts w:ascii="Arial" w:hAnsi="Arial" w:cs="Arial"/>
          <w:sz w:val="24"/>
          <w:szCs w:val="24"/>
          <w:lang w:val="fr-BE"/>
        </w:rPr>
        <w:t>sa</w:t>
      </w:r>
      <w:r w:rsidRPr="00212D31">
        <w:rPr>
          <w:rFonts w:ascii="Arial" w:hAnsi="Arial" w:cs="Arial"/>
          <w:sz w:val="24"/>
          <w:szCs w:val="24"/>
          <w:lang w:val="fr-BE"/>
        </w:rPr>
        <w:t xml:space="preserve"> tâche, car ils aboutiraient à ce qu</w:t>
      </w:r>
      <w:r w:rsidR="008E3135" w:rsidRPr="00212D31">
        <w:rPr>
          <w:rFonts w:ascii="Arial" w:hAnsi="Arial" w:cs="Arial"/>
          <w:sz w:val="24"/>
          <w:szCs w:val="24"/>
          <w:lang w:val="fr-BE"/>
        </w:rPr>
        <w:t>’elle s’efforce</w:t>
      </w:r>
      <w:r w:rsidRPr="00212D31">
        <w:rPr>
          <w:rFonts w:ascii="Arial" w:hAnsi="Arial" w:cs="Arial"/>
          <w:sz w:val="24"/>
          <w:szCs w:val="24"/>
          <w:lang w:val="fr-BE"/>
        </w:rPr>
        <w:t xml:space="preserve"> non seulement de trouver la meilleure solution au cas d’espèce, mais aussi de faire en sorte que cette solutio</w:t>
      </w:r>
      <w:r w:rsidR="00096E90" w:rsidRPr="00212D31">
        <w:rPr>
          <w:rFonts w:ascii="Arial" w:hAnsi="Arial" w:cs="Arial"/>
          <w:sz w:val="24"/>
          <w:szCs w:val="24"/>
          <w:lang w:val="fr-BE"/>
        </w:rPr>
        <w:t>n rentre dans un schéma élaboré</w:t>
      </w:r>
      <w:r w:rsidRPr="00212D31">
        <w:rPr>
          <w:rFonts w:ascii="Arial" w:hAnsi="Arial" w:cs="Arial"/>
          <w:sz w:val="24"/>
          <w:szCs w:val="24"/>
          <w:lang w:val="fr-BE"/>
        </w:rPr>
        <w:t xml:space="preserve">. </w:t>
      </w:r>
      <w:r w:rsidR="00F63C9F" w:rsidRPr="00212D31">
        <w:rPr>
          <w:rFonts w:ascii="Arial" w:hAnsi="Arial" w:cs="Arial"/>
          <w:sz w:val="24"/>
          <w:szCs w:val="24"/>
          <w:lang w:val="fr-BE"/>
        </w:rPr>
        <w:t xml:space="preserve">Néanmoins, les valeurs défendues par les États membres sont de plus en plus présentes dans les </w:t>
      </w:r>
      <w:r w:rsidR="00F63C9F" w:rsidRPr="00212D31">
        <w:rPr>
          <w:rFonts w:ascii="Arial" w:hAnsi="Arial" w:cs="Arial"/>
          <w:sz w:val="24"/>
          <w:szCs w:val="24"/>
          <w:lang w:val="fr-BE"/>
        </w:rPr>
        <w:lastRenderedPageBreak/>
        <w:t>arguments échangés devant la Cour, ce qui fait qu’elle se prononce de plus en plus en tenant en compte ces valeurs, dont l’État de droit</w:t>
      </w:r>
      <w:r w:rsidR="00F63C9F" w:rsidRPr="00212D31">
        <w:rPr>
          <w:rStyle w:val="Appelnotedebasdep"/>
          <w:rFonts w:ascii="Arial" w:hAnsi="Arial" w:cs="Arial"/>
          <w:sz w:val="24"/>
          <w:szCs w:val="24"/>
          <w:lang w:val="fr-BE"/>
        </w:rPr>
        <w:footnoteReference w:id="25"/>
      </w:r>
      <w:r w:rsidR="00F63C9F" w:rsidRPr="00212D31">
        <w:rPr>
          <w:rFonts w:ascii="Arial" w:hAnsi="Arial" w:cs="Arial"/>
          <w:sz w:val="24"/>
          <w:szCs w:val="24"/>
          <w:lang w:val="fr-BE"/>
        </w:rPr>
        <w:t xml:space="preserve">. </w:t>
      </w:r>
    </w:p>
    <w:p w14:paraId="312F7381" w14:textId="77777777" w:rsidR="00212D31" w:rsidRPr="00212D31" w:rsidRDefault="00212D31" w:rsidP="00212D31">
      <w:pPr>
        <w:spacing w:after="0" w:line="240" w:lineRule="auto"/>
        <w:jc w:val="both"/>
        <w:rPr>
          <w:rFonts w:ascii="Arial" w:hAnsi="Arial" w:cs="Arial"/>
          <w:sz w:val="24"/>
          <w:szCs w:val="24"/>
          <w:lang w:val="fr-BE"/>
        </w:rPr>
      </w:pPr>
    </w:p>
    <w:p w14:paraId="38718A3B" w14:textId="67E1075E" w:rsidR="008554F2" w:rsidRDefault="008E3135"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Mais</w:t>
      </w:r>
      <w:r w:rsidR="008554F2" w:rsidRPr="00212D31">
        <w:rPr>
          <w:rFonts w:ascii="Arial" w:hAnsi="Arial" w:cs="Arial"/>
          <w:sz w:val="24"/>
          <w:szCs w:val="24"/>
          <w:lang w:val="fr-BE"/>
        </w:rPr>
        <w:t xml:space="preserve"> que se </w:t>
      </w:r>
      <w:proofErr w:type="spellStart"/>
      <w:r w:rsidR="008554F2" w:rsidRPr="00212D31">
        <w:rPr>
          <w:rFonts w:ascii="Arial" w:hAnsi="Arial" w:cs="Arial"/>
          <w:sz w:val="24"/>
          <w:szCs w:val="24"/>
          <w:lang w:val="fr-BE"/>
        </w:rPr>
        <w:t>passerait-il</w:t>
      </w:r>
      <w:proofErr w:type="spellEnd"/>
      <w:r w:rsidR="008554F2" w:rsidRPr="00212D31">
        <w:rPr>
          <w:rFonts w:ascii="Arial" w:hAnsi="Arial" w:cs="Arial"/>
          <w:sz w:val="24"/>
          <w:szCs w:val="24"/>
          <w:lang w:val="fr-BE"/>
        </w:rPr>
        <w:t xml:space="preserve"> si </w:t>
      </w:r>
      <w:r w:rsidRPr="00212D31">
        <w:rPr>
          <w:rFonts w:ascii="Arial" w:hAnsi="Arial" w:cs="Arial"/>
          <w:sz w:val="24"/>
          <w:szCs w:val="24"/>
          <w:lang w:val="fr-BE"/>
        </w:rPr>
        <w:t>la Cour n’arrivait pas à faire rentrer dans un schéma préétabli une solution envisagée pour le litige pendant devant elle</w:t>
      </w:r>
      <w:r w:rsidR="008554F2" w:rsidRPr="00212D31">
        <w:rPr>
          <w:rFonts w:ascii="Arial" w:hAnsi="Arial" w:cs="Arial"/>
          <w:sz w:val="24"/>
          <w:szCs w:val="24"/>
          <w:lang w:val="fr-BE"/>
        </w:rPr>
        <w:t>? Sans vouloir méconnaître le fait qu’un organe tel que la Cour de justice, qui dit le droit, développe forcément ce dernier en l‘appliquant, et sans vouloir nier le fait que cet organe, pour assurer l’uniformité du droit, adopte un raisonnement susceptible de s’appliquer au-delà du cas d’espèce et donc de revêtir une valeur générale, il convient à mon sens de garder à l’esprit qu’à vouloir trop s</w:t>
      </w:r>
      <w:r w:rsidR="00096E90" w:rsidRPr="00212D31">
        <w:rPr>
          <w:rFonts w:ascii="Arial" w:hAnsi="Arial" w:cs="Arial"/>
          <w:sz w:val="24"/>
          <w:szCs w:val="24"/>
          <w:lang w:val="fr-BE"/>
        </w:rPr>
        <w:t>’inscrire</w:t>
      </w:r>
      <w:r w:rsidR="008554F2" w:rsidRPr="00212D31">
        <w:rPr>
          <w:rFonts w:ascii="Arial" w:hAnsi="Arial" w:cs="Arial"/>
          <w:sz w:val="24"/>
          <w:szCs w:val="24"/>
          <w:lang w:val="fr-BE"/>
        </w:rPr>
        <w:t xml:space="preserve"> dans des théories générales, on peut buter sur un obstacle lorsqu’on pense avoir trouvé la réponse adéquate au cas d’espèce, mais que cette réponse ne se réconcilie hélas que difficilement avec les </w:t>
      </w:r>
      <w:proofErr w:type="spellStart"/>
      <w:r w:rsidR="008554F2" w:rsidRPr="00212D31">
        <w:rPr>
          <w:rFonts w:ascii="Arial" w:hAnsi="Arial" w:cs="Arial"/>
          <w:i/>
          <w:sz w:val="24"/>
          <w:szCs w:val="24"/>
          <w:lang w:val="fr-BE"/>
        </w:rPr>
        <w:t>obiter</w:t>
      </w:r>
      <w:proofErr w:type="spellEnd"/>
      <w:r w:rsidR="008554F2" w:rsidRPr="00212D31">
        <w:rPr>
          <w:rFonts w:ascii="Arial" w:hAnsi="Arial" w:cs="Arial"/>
          <w:i/>
          <w:sz w:val="24"/>
          <w:szCs w:val="24"/>
          <w:lang w:val="fr-BE"/>
        </w:rPr>
        <w:t xml:space="preserve"> dicta </w:t>
      </w:r>
      <w:r w:rsidR="00FA5105" w:rsidRPr="00212D31">
        <w:rPr>
          <w:rFonts w:ascii="Arial" w:hAnsi="Arial" w:cs="Arial"/>
          <w:sz w:val="24"/>
          <w:szCs w:val="24"/>
          <w:lang w:val="fr-BE"/>
        </w:rPr>
        <w:t>d’arrêts précédents.</w:t>
      </w:r>
      <w:r w:rsidR="008554F2" w:rsidRPr="00212D31">
        <w:rPr>
          <w:rFonts w:ascii="Arial" w:hAnsi="Arial" w:cs="Arial"/>
          <w:sz w:val="24"/>
          <w:szCs w:val="24"/>
          <w:lang w:val="fr-BE"/>
        </w:rPr>
        <w:t xml:space="preserve"> Les </w:t>
      </w:r>
      <w:proofErr w:type="spellStart"/>
      <w:r w:rsidR="008554F2" w:rsidRPr="00212D31">
        <w:rPr>
          <w:rFonts w:ascii="Arial" w:hAnsi="Arial" w:cs="Arial"/>
          <w:i/>
          <w:sz w:val="24"/>
          <w:szCs w:val="24"/>
          <w:lang w:val="fr-BE"/>
        </w:rPr>
        <w:t>obiter</w:t>
      </w:r>
      <w:proofErr w:type="spellEnd"/>
      <w:r w:rsidR="008554F2" w:rsidRPr="00212D31">
        <w:rPr>
          <w:rFonts w:ascii="Arial" w:hAnsi="Arial" w:cs="Arial"/>
          <w:i/>
          <w:sz w:val="24"/>
          <w:szCs w:val="24"/>
          <w:lang w:val="fr-BE"/>
        </w:rPr>
        <w:t xml:space="preserve"> dicta</w:t>
      </w:r>
      <w:r w:rsidR="008554F2" w:rsidRPr="00212D31">
        <w:rPr>
          <w:rFonts w:ascii="Arial" w:hAnsi="Arial" w:cs="Arial"/>
          <w:sz w:val="24"/>
          <w:szCs w:val="24"/>
          <w:lang w:val="fr-BE"/>
        </w:rPr>
        <w:t xml:space="preserve">, qui engagent pour l’avenir, sont parfaitement susceptibles d’entraver un développement harmonieux de la jurisprudence. </w:t>
      </w:r>
    </w:p>
    <w:p w14:paraId="046EDFE7" w14:textId="77777777" w:rsidR="00212D31" w:rsidRPr="00212D31" w:rsidRDefault="00212D31" w:rsidP="00212D31">
      <w:pPr>
        <w:spacing w:after="0" w:line="240" w:lineRule="auto"/>
        <w:jc w:val="both"/>
        <w:rPr>
          <w:rFonts w:ascii="Arial" w:hAnsi="Arial" w:cs="Arial"/>
          <w:sz w:val="24"/>
          <w:szCs w:val="24"/>
          <w:lang w:val="fr-BE"/>
        </w:rPr>
      </w:pPr>
    </w:p>
    <w:p w14:paraId="76D0CF13" w14:textId="489FD691" w:rsidR="008554F2" w:rsidRPr="00212D31" w:rsidRDefault="008554F2"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 xml:space="preserve">Ceci n’exclut bien sûr pas que notre jurisprudence contienne des raisonnements à portée plus générale. </w:t>
      </w:r>
      <w:r w:rsidR="002C23D5" w:rsidRPr="00212D31">
        <w:rPr>
          <w:rFonts w:ascii="Arial" w:hAnsi="Arial" w:cs="Arial"/>
          <w:sz w:val="24"/>
          <w:szCs w:val="24"/>
          <w:lang w:val="fr-BE"/>
        </w:rPr>
        <w:t>En effet, l</w:t>
      </w:r>
      <w:r w:rsidRPr="00212D31">
        <w:rPr>
          <w:rFonts w:ascii="Arial" w:hAnsi="Arial" w:cs="Arial"/>
          <w:sz w:val="24"/>
          <w:szCs w:val="24"/>
          <w:lang w:val="fr-BE"/>
        </w:rPr>
        <w:t>es conclusions des avocats généraux de la Cour contiennent des développements relatifs à des facettes du droit de l’</w:t>
      </w:r>
      <w:r w:rsidR="00C86680" w:rsidRPr="00212D31">
        <w:rPr>
          <w:rFonts w:ascii="Arial" w:hAnsi="Arial" w:cs="Arial"/>
          <w:sz w:val="24"/>
          <w:szCs w:val="24"/>
          <w:lang w:val="fr-BE"/>
        </w:rPr>
        <w:t>Union qui sont à rattacher à l’É</w:t>
      </w:r>
      <w:r w:rsidRPr="00212D31">
        <w:rPr>
          <w:rFonts w:ascii="Arial" w:hAnsi="Arial" w:cs="Arial"/>
          <w:sz w:val="24"/>
          <w:szCs w:val="24"/>
          <w:lang w:val="fr-BE"/>
        </w:rPr>
        <w:t>tat de droit, principe qui y est d’ai</w:t>
      </w:r>
      <w:r w:rsidR="002C23D5" w:rsidRPr="00212D31">
        <w:rPr>
          <w:rFonts w:ascii="Arial" w:hAnsi="Arial" w:cs="Arial"/>
          <w:sz w:val="24"/>
          <w:szCs w:val="24"/>
          <w:lang w:val="fr-BE"/>
        </w:rPr>
        <w:t xml:space="preserve">lleurs </w:t>
      </w:r>
      <w:r w:rsidR="00FB30F1" w:rsidRPr="00212D31">
        <w:rPr>
          <w:rFonts w:ascii="Arial" w:hAnsi="Arial" w:cs="Arial"/>
          <w:sz w:val="24"/>
          <w:szCs w:val="24"/>
          <w:lang w:val="fr-BE"/>
        </w:rPr>
        <w:t xml:space="preserve">parfois </w:t>
      </w:r>
      <w:r w:rsidR="002C23D5" w:rsidRPr="00212D31">
        <w:rPr>
          <w:rFonts w:ascii="Arial" w:hAnsi="Arial" w:cs="Arial"/>
          <w:sz w:val="24"/>
          <w:szCs w:val="24"/>
          <w:lang w:val="fr-BE"/>
        </w:rPr>
        <w:t>mentionné expressément</w:t>
      </w:r>
      <w:r w:rsidR="00695014" w:rsidRPr="00212D31">
        <w:rPr>
          <w:rStyle w:val="Appelnotedebasdep"/>
          <w:rFonts w:ascii="Arial" w:hAnsi="Arial" w:cs="Arial"/>
          <w:sz w:val="24"/>
          <w:szCs w:val="24"/>
          <w:lang w:val="fr-BE"/>
        </w:rPr>
        <w:footnoteReference w:id="26"/>
      </w:r>
      <w:r w:rsidR="002C23D5" w:rsidRPr="00212D31">
        <w:rPr>
          <w:rFonts w:ascii="Arial" w:hAnsi="Arial" w:cs="Arial"/>
          <w:sz w:val="24"/>
          <w:szCs w:val="24"/>
          <w:lang w:val="fr-BE"/>
        </w:rPr>
        <w:t xml:space="preserve">. </w:t>
      </w:r>
      <w:r w:rsidR="00FB30F1" w:rsidRPr="00212D31">
        <w:rPr>
          <w:rFonts w:ascii="Arial" w:hAnsi="Arial" w:cs="Arial"/>
          <w:sz w:val="24"/>
          <w:szCs w:val="24"/>
          <w:lang w:val="fr-BE"/>
        </w:rPr>
        <w:t>L</w:t>
      </w:r>
      <w:r w:rsidRPr="00212D31">
        <w:rPr>
          <w:rFonts w:ascii="Arial" w:hAnsi="Arial" w:cs="Arial"/>
          <w:sz w:val="24"/>
          <w:szCs w:val="24"/>
          <w:lang w:val="fr-BE"/>
        </w:rPr>
        <w:t>es conclusions</w:t>
      </w:r>
      <w:r w:rsidR="00FB30F1" w:rsidRPr="00212D31">
        <w:rPr>
          <w:rFonts w:ascii="Arial" w:hAnsi="Arial" w:cs="Arial"/>
          <w:sz w:val="24"/>
          <w:szCs w:val="24"/>
          <w:lang w:val="fr-BE"/>
        </w:rPr>
        <w:t>, qui ont</w:t>
      </w:r>
      <w:r w:rsidRPr="00212D31">
        <w:rPr>
          <w:rFonts w:ascii="Arial" w:hAnsi="Arial" w:cs="Arial"/>
          <w:sz w:val="24"/>
          <w:szCs w:val="24"/>
          <w:lang w:val="fr-BE"/>
        </w:rPr>
        <w:t xml:space="preserve"> vocation à proposer des solutions s’inscrivant dans une approche globale, se prêtent, plus que les arrêts, à un dialogue constructif avec la </w:t>
      </w:r>
      <w:r w:rsidR="00FB30F1" w:rsidRPr="00212D31">
        <w:rPr>
          <w:rFonts w:ascii="Arial" w:hAnsi="Arial" w:cs="Arial"/>
          <w:sz w:val="24"/>
          <w:szCs w:val="24"/>
          <w:lang w:val="fr-BE"/>
        </w:rPr>
        <w:t>doctrine</w:t>
      </w:r>
      <w:r w:rsidRPr="00212D31">
        <w:rPr>
          <w:rFonts w:ascii="Arial" w:hAnsi="Arial" w:cs="Arial"/>
          <w:sz w:val="24"/>
          <w:szCs w:val="24"/>
          <w:lang w:val="fr-BE"/>
        </w:rPr>
        <w:t>, dialogue</w:t>
      </w:r>
      <w:r w:rsidR="002C23D5" w:rsidRPr="00212D31">
        <w:rPr>
          <w:rFonts w:ascii="Arial" w:hAnsi="Arial" w:cs="Arial"/>
          <w:sz w:val="24"/>
          <w:szCs w:val="24"/>
          <w:lang w:val="fr-BE"/>
        </w:rPr>
        <w:t xml:space="preserve"> qui est</w:t>
      </w:r>
      <w:r w:rsidRPr="00212D31">
        <w:rPr>
          <w:rFonts w:ascii="Arial" w:hAnsi="Arial" w:cs="Arial"/>
          <w:sz w:val="24"/>
          <w:szCs w:val="24"/>
          <w:lang w:val="fr-BE"/>
        </w:rPr>
        <w:t xml:space="preserve"> par ailleurs recherché par les avocats généraux. </w:t>
      </w:r>
    </w:p>
    <w:p w14:paraId="721AA45C" w14:textId="77777777" w:rsidR="008F2307" w:rsidRPr="00212D31" w:rsidRDefault="008F2307" w:rsidP="00212D31">
      <w:pPr>
        <w:spacing w:after="0" w:line="240" w:lineRule="auto"/>
        <w:jc w:val="both"/>
        <w:rPr>
          <w:rFonts w:ascii="Arial" w:hAnsi="Arial" w:cs="Arial"/>
          <w:sz w:val="24"/>
          <w:szCs w:val="24"/>
          <w:lang w:val="fr-BE"/>
        </w:rPr>
      </w:pPr>
    </w:p>
    <w:p w14:paraId="6633D625" w14:textId="7614D9A8" w:rsidR="008F2307" w:rsidRPr="00212D31" w:rsidRDefault="00E51CE0" w:rsidP="00212D31">
      <w:pPr>
        <w:spacing w:after="0" w:line="240" w:lineRule="auto"/>
        <w:jc w:val="both"/>
        <w:rPr>
          <w:rFonts w:ascii="Arial" w:hAnsi="Arial" w:cs="Arial"/>
          <w:b/>
          <w:color w:val="C00000"/>
          <w:sz w:val="28"/>
          <w:szCs w:val="28"/>
          <w:lang w:val="fr-BE"/>
        </w:rPr>
      </w:pPr>
      <w:r w:rsidRPr="00212D31">
        <w:rPr>
          <w:rFonts w:ascii="Arial" w:hAnsi="Arial" w:cs="Arial"/>
          <w:b/>
          <w:color w:val="C00000"/>
          <w:sz w:val="28"/>
          <w:szCs w:val="28"/>
          <w:lang w:val="fr-BE"/>
        </w:rPr>
        <w:t>IV. La protection de l’É</w:t>
      </w:r>
      <w:r w:rsidR="008F2307" w:rsidRPr="00212D31">
        <w:rPr>
          <w:rFonts w:ascii="Arial" w:hAnsi="Arial" w:cs="Arial"/>
          <w:b/>
          <w:color w:val="C00000"/>
          <w:sz w:val="28"/>
          <w:szCs w:val="28"/>
          <w:lang w:val="fr-BE"/>
        </w:rPr>
        <w:t>tat de droit dans l’Union européenne</w:t>
      </w:r>
    </w:p>
    <w:p w14:paraId="2C9051B3" w14:textId="77777777" w:rsidR="00212D31" w:rsidRDefault="00212D31" w:rsidP="00212D31">
      <w:pPr>
        <w:spacing w:after="0" w:line="240" w:lineRule="auto"/>
        <w:jc w:val="both"/>
        <w:rPr>
          <w:rFonts w:ascii="Arial" w:hAnsi="Arial" w:cs="Arial"/>
          <w:sz w:val="24"/>
          <w:szCs w:val="24"/>
          <w:lang w:val="fr-BE"/>
        </w:rPr>
      </w:pPr>
    </w:p>
    <w:p w14:paraId="6DAB2B68" w14:textId="6B87AEBE" w:rsidR="008F2307" w:rsidRDefault="008F2307" w:rsidP="00212D31">
      <w:pPr>
        <w:spacing w:after="0" w:line="240" w:lineRule="auto"/>
        <w:jc w:val="both"/>
        <w:rPr>
          <w:rFonts w:ascii="Arial" w:hAnsi="Arial" w:cs="Arial"/>
          <w:sz w:val="24"/>
          <w:szCs w:val="24"/>
          <w:lang w:val="fr-BE"/>
        </w:rPr>
      </w:pPr>
      <w:r w:rsidRPr="00212D31">
        <w:rPr>
          <w:rFonts w:ascii="Arial" w:hAnsi="Arial" w:cs="Arial"/>
          <w:b/>
          <w:i/>
          <w:color w:val="C00000"/>
          <w:sz w:val="28"/>
          <w:szCs w:val="28"/>
          <w:lang w:val="fr-BE"/>
        </w:rPr>
        <w:t>L</w:t>
      </w:r>
      <w:r w:rsidRPr="00212D31">
        <w:rPr>
          <w:rFonts w:ascii="Arial" w:hAnsi="Arial" w:cs="Arial"/>
          <w:sz w:val="24"/>
          <w:szCs w:val="24"/>
          <w:lang w:val="fr-BE"/>
        </w:rPr>
        <w:t>a plac</w:t>
      </w:r>
      <w:r w:rsidR="00C86680" w:rsidRPr="00212D31">
        <w:rPr>
          <w:rFonts w:ascii="Arial" w:hAnsi="Arial" w:cs="Arial"/>
          <w:sz w:val="24"/>
          <w:szCs w:val="24"/>
          <w:lang w:val="fr-BE"/>
        </w:rPr>
        <w:t>e occupée par le principe de l’É</w:t>
      </w:r>
      <w:r w:rsidRPr="00212D31">
        <w:rPr>
          <w:rFonts w:ascii="Arial" w:hAnsi="Arial" w:cs="Arial"/>
          <w:sz w:val="24"/>
          <w:szCs w:val="24"/>
          <w:lang w:val="fr-BE"/>
        </w:rPr>
        <w:t>tat de droit dans la jurisprudence de la Cour pourrait gagner une nouvelle dimension à l’aune d’une initiative lancée par la Commission européenne, qui a débouché, en mars 2014, sur l’adoption d’une communication adressée au Parlement européen et au Conseil et dans laquelle la Commission propose un nouv</w:t>
      </w:r>
      <w:r w:rsidR="00C86680" w:rsidRPr="00212D31">
        <w:rPr>
          <w:rFonts w:ascii="Arial" w:hAnsi="Arial" w:cs="Arial"/>
          <w:sz w:val="24"/>
          <w:szCs w:val="24"/>
          <w:lang w:val="fr-BE"/>
        </w:rPr>
        <w:t>eau mécanisme pour renforcer l’É</w:t>
      </w:r>
      <w:r w:rsidRPr="00212D31">
        <w:rPr>
          <w:rFonts w:ascii="Arial" w:hAnsi="Arial" w:cs="Arial"/>
          <w:sz w:val="24"/>
          <w:szCs w:val="24"/>
          <w:lang w:val="fr-BE"/>
        </w:rPr>
        <w:t>tat de droit</w:t>
      </w:r>
      <w:r w:rsidRPr="00212D31">
        <w:rPr>
          <w:rStyle w:val="Appelnotedebasdep"/>
          <w:rFonts w:ascii="Arial" w:hAnsi="Arial" w:cs="Arial"/>
          <w:sz w:val="24"/>
          <w:szCs w:val="24"/>
          <w:lang w:val="fr-BE"/>
        </w:rPr>
        <w:footnoteReference w:id="27"/>
      </w:r>
      <w:r w:rsidRPr="00212D31">
        <w:rPr>
          <w:rFonts w:ascii="Arial" w:hAnsi="Arial" w:cs="Arial"/>
          <w:sz w:val="24"/>
          <w:szCs w:val="24"/>
          <w:lang w:val="fr-BE"/>
        </w:rPr>
        <w:t>. Dans ce document, la Commission part du postulat que la significat</w:t>
      </w:r>
      <w:r w:rsidR="00C86680" w:rsidRPr="00212D31">
        <w:rPr>
          <w:rFonts w:ascii="Arial" w:hAnsi="Arial" w:cs="Arial"/>
          <w:sz w:val="24"/>
          <w:szCs w:val="24"/>
          <w:lang w:val="fr-BE"/>
        </w:rPr>
        <w:t>ion que revêt le principe de l’É</w:t>
      </w:r>
      <w:r w:rsidRPr="00212D31">
        <w:rPr>
          <w:rFonts w:ascii="Arial" w:hAnsi="Arial" w:cs="Arial"/>
          <w:sz w:val="24"/>
          <w:szCs w:val="24"/>
          <w:lang w:val="fr-BE"/>
        </w:rPr>
        <w:t>tat de droit pour chaque démocratie moderne oblige t</w:t>
      </w:r>
      <w:r w:rsidR="00C86680" w:rsidRPr="00212D31">
        <w:rPr>
          <w:rFonts w:ascii="Arial" w:hAnsi="Arial" w:cs="Arial"/>
          <w:sz w:val="24"/>
          <w:szCs w:val="24"/>
          <w:lang w:val="fr-BE"/>
        </w:rPr>
        <w:t>ant l’Union européenne que les É</w:t>
      </w:r>
      <w:r w:rsidRPr="00212D31">
        <w:rPr>
          <w:rFonts w:ascii="Arial" w:hAnsi="Arial" w:cs="Arial"/>
          <w:sz w:val="24"/>
          <w:szCs w:val="24"/>
          <w:lang w:val="fr-BE"/>
        </w:rPr>
        <w:t>tats membres à respecter ce dernier. En particulier, l</w:t>
      </w:r>
      <w:r w:rsidR="00C86680" w:rsidRPr="00212D31">
        <w:rPr>
          <w:rFonts w:ascii="Arial" w:hAnsi="Arial" w:cs="Arial"/>
          <w:sz w:val="24"/>
          <w:szCs w:val="24"/>
          <w:lang w:val="fr-BE"/>
        </w:rPr>
        <w:t>a confiance mutuelle entre les É</w:t>
      </w:r>
      <w:r w:rsidRPr="00212D31">
        <w:rPr>
          <w:rFonts w:ascii="Arial" w:hAnsi="Arial" w:cs="Arial"/>
          <w:sz w:val="24"/>
          <w:szCs w:val="24"/>
          <w:lang w:val="fr-BE"/>
        </w:rPr>
        <w:t xml:space="preserve">tats membres et leurs systèmes juridiques respectifs est un – sinon </w:t>
      </w:r>
      <w:r w:rsidRPr="00212D31">
        <w:rPr>
          <w:rFonts w:ascii="Arial" w:hAnsi="Arial" w:cs="Arial"/>
          <w:b/>
          <w:i/>
          <w:sz w:val="24"/>
          <w:szCs w:val="24"/>
          <w:lang w:val="fr-BE"/>
        </w:rPr>
        <w:t xml:space="preserve">le </w:t>
      </w:r>
      <w:r w:rsidRPr="00212D31">
        <w:rPr>
          <w:rFonts w:ascii="Arial" w:hAnsi="Arial" w:cs="Arial"/>
          <w:sz w:val="24"/>
          <w:szCs w:val="24"/>
          <w:lang w:val="fr-BE"/>
        </w:rPr>
        <w:t>– fondement de l’Union et cette confiance ne peut être gagnée et maintenue que si l’</w:t>
      </w:r>
      <w:r w:rsidR="00C86680" w:rsidRPr="00212D31">
        <w:rPr>
          <w:rFonts w:ascii="Arial" w:hAnsi="Arial" w:cs="Arial"/>
          <w:sz w:val="24"/>
          <w:szCs w:val="24"/>
          <w:lang w:val="fr-BE"/>
        </w:rPr>
        <w:t>É</w:t>
      </w:r>
      <w:r w:rsidRPr="00212D31">
        <w:rPr>
          <w:rFonts w:ascii="Arial" w:hAnsi="Arial" w:cs="Arial"/>
          <w:sz w:val="24"/>
          <w:szCs w:val="24"/>
          <w:lang w:val="fr-BE"/>
        </w:rPr>
        <w:t>tat de dr</w:t>
      </w:r>
      <w:r w:rsidR="00C86680" w:rsidRPr="00212D31">
        <w:rPr>
          <w:rFonts w:ascii="Arial" w:hAnsi="Arial" w:cs="Arial"/>
          <w:sz w:val="24"/>
          <w:szCs w:val="24"/>
          <w:lang w:val="fr-BE"/>
        </w:rPr>
        <w:t>oit est respecté dans tous les É</w:t>
      </w:r>
      <w:r w:rsidRPr="00212D31">
        <w:rPr>
          <w:rFonts w:ascii="Arial" w:hAnsi="Arial" w:cs="Arial"/>
          <w:sz w:val="24"/>
          <w:szCs w:val="24"/>
          <w:lang w:val="fr-BE"/>
        </w:rPr>
        <w:t>tats membres. La Commission poursuit en affirmant que les citoyens de l’Union sont, „en principe“, bien pro</w:t>
      </w:r>
      <w:r w:rsidR="00C86680" w:rsidRPr="00212D31">
        <w:rPr>
          <w:rFonts w:ascii="Arial" w:hAnsi="Arial" w:cs="Arial"/>
          <w:sz w:val="24"/>
          <w:szCs w:val="24"/>
          <w:lang w:val="fr-BE"/>
        </w:rPr>
        <w:t>tégés de toute menace contre l’É</w:t>
      </w:r>
      <w:r w:rsidRPr="00212D31">
        <w:rPr>
          <w:rFonts w:ascii="Arial" w:hAnsi="Arial" w:cs="Arial"/>
          <w:sz w:val="24"/>
          <w:szCs w:val="24"/>
          <w:lang w:val="fr-BE"/>
        </w:rPr>
        <w:t xml:space="preserve">tat de droit. Toutefois, des événements </w:t>
      </w:r>
      <w:r w:rsidR="00C86680" w:rsidRPr="00212D31">
        <w:rPr>
          <w:rFonts w:ascii="Arial" w:hAnsi="Arial" w:cs="Arial"/>
          <w:sz w:val="24"/>
          <w:szCs w:val="24"/>
          <w:lang w:val="fr-BE"/>
        </w:rPr>
        <w:t xml:space="preserve">récents survenus dans </w:t>
      </w:r>
      <w:r w:rsidR="00C86680" w:rsidRPr="00212D31">
        <w:rPr>
          <w:rFonts w:ascii="Arial" w:hAnsi="Arial" w:cs="Arial"/>
          <w:sz w:val="24"/>
          <w:szCs w:val="24"/>
          <w:lang w:val="fr-BE"/>
        </w:rPr>
        <w:lastRenderedPageBreak/>
        <w:t>certains É</w:t>
      </w:r>
      <w:r w:rsidRPr="00212D31">
        <w:rPr>
          <w:rFonts w:ascii="Arial" w:hAnsi="Arial" w:cs="Arial"/>
          <w:sz w:val="24"/>
          <w:szCs w:val="24"/>
          <w:lang w:val="fr-BE"/>
        </w:rPr>
        <w:t xml:space="preserve">tats membres, que la Commission </w:t>
      </w:r>
      <w:r w:rsidR="00F13206" w:rsidRPr="00212D31">
        <w:rPr>
          <w:rFonts w:ascii="Arial" w:hAnsi="Arial" w:cs="Arial"/>
          <w:sz w:val="24"/>
          <w:szCs w:val="24"/>
          <w:lang w:val="fr-BE"/>
        </w:rPr>
        <w:t>ne</w:t>
      </w:r>
      <w:r w:rsidRPr="00212D31">
        <w:rPr>
          <w:rFonts w:ascii="Arial" w:hAnsi="Arial" w:cs="Arial"/>
          <w:sz w:val="24"/>
          <w:szCs w:val="24"/>
          <w:lang w:val="fr-BE"/>
        </w:rPr>
        <w:t xml:space="preserve"> nomme pas, mo</w:t>
      </w:r>
      <w:r w:rsidR="00C86680" w:rsidRPr="00212D31">
        <w:rPr>
          <w:rFonts w:ascii="Arial" w:hAnsi="Arial" w:cs="Arial"/>
          <w:sz w:val="24"/>
          <w:szCs w:val="24"/>
          <w:lang w:val="fr-BE"/>
        </w:rPr>
        <w:t>ntreraient que le respect de l’É</w:t>
      </w:r>
      <w:r w:rsidRPr="00212D31">
        <w:rPr>
          <w:rFonts w:ascii="Arial" w:hAnsi="Arial" w:cs="Arial"/>
          <w:sz w:val="24"/>
          <w:szCs w:val="24"/>
          <w:lang w:val="fr-BE"/>
        </w:rPr>
        <w:t>tat de droit est menacé de telle sorte que les mécanismes et procédures prévus par le droit de l’Union</w:t>
      </w:r>
      <w:r w:rsidR="0048636B" w:rsidRPr="00212D31">
        <w:rPr>
          <w:rStyle w:val="Appelnotedebasdep"/>
          <w:rFonts w:ascii="Arial" w:hAnsi="Arial" w:cs="Arial"/>
          <w:sz w:val="24"/>
          <w:szCs w:val="24"/>
          <w:lang w:val="fr-BE"/>
        </w:rPr>
        <w:footnoteReference w:id="28"/>
      </w:r>
      <w:r w:rsidRPr="00212D31">
        <w:rPr>
          <w:rFonts w:ascii="Arial" w:hAnsi="Arial" w:cs="Arial"/>
          <w:sz w:val="24"/>
          <w:szCs w:val="24"/>
          <w:lang w:val="fr-BE"/>
        </w:rPr>
        <w:t xml:space="preserve"> ne seraient pas toujours </w:t>
      </w:r>
      <w:r w:rsidR="00F13206" w:rsidRPr="00212D31">
        <w:rPr>
          <w:rFonts w:ascii="Arial" w:hAnsi="Arial" w:cs="Arial"/>
          <w:sz w:val="24"/>
          <w:szCs w:val="24"/>
          <w:lang w:val="fr-BE"/>
        </w:rPr>
        <w:t>adaptés</w:t>
      </w:r>
      <w:r w:rsidRPr="00212D31">
        <w:rPr>
          <w:rFonts w:ascii="Arial" w:hAnsi="Arial" w:cs="Arial"/>
          <w:sz w:val="24"/>
          <w:szCs w:val="24"/>
          <w:lang w:val="fr-BE"/>
        </w:rPr>
        <w:t xml:space="preserve"> pour réagir efficacement et au bon</w:t>
      </w:r>
      <w:r w:rsidR="00F13206" w:rsidRPr="00212D31">
        <w:rPr>
          <w:rFonts w:ascii="Arial" w:hAnsi="Arial" w:cs="Arial"/>
          <w:sz w:val="24"/>
          <w:szCs w:val="24"/>
          <w:lang w:val="fr-BE"/>
        </w:rPr>
        <w:t xml:space="preserve"> moment aux atteintes portées.</w:t>
      </w:r>
      <w:r w:rsidRPr="00212D31">
        <w:rPr>
          <w:rFonts w:ascii="Arial" w:hAnsi="Arial" w:cs="Arial"/>
          <w:sz w:val="24"/>
          <w:szCs w:val="24"/>
          <w:lang w:val="fr-BE"/>
        </w:rPr>
        <w:t xml:space="preserve"> D’où la nécessité d’adopter un nouveau cadre que la Commission décrit dans la dernière partie de sa communication.</w:t>
      </w:r>
    </w:p>
    <w:p w14:paraId="7038D9E0" w14:textId="77777777" w:rsidR="00212D31" w:rsidRPr="00212D31" w:rsidRDefault="00212D31" w:rsidP="00212D31">
      <w:pPr>
        <w:spacing w:after="0" w:line="240" w:lineRule="auto"/>
        <w:jc w:val="both"/>
        <w:rPr>
          <w:rFonts w:ascii="Arial" w:hAnsi="Arial" w:cs="Arial"/>
          <w:sz w:val="24"/>
          <w:szCs w:val="24"/>
          <w:lang w:val="fr-BE"/>
        </w:rPr>
      </w:pPr>
    </w:p>
    <w:p w14:paraId="5AAD34D5" w14:textId="0E58DE84" w:rsidR="008F2307" w:rsidRPr="00212D31" w:rsidRDefault="008F2307"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Avant d’en venir à ce nouveau cadre, il est intéressant de présenter brièvement quelles valeurs la Commission considère comme constituant les éléments carac</w:t>
      </w:r>
      <w:r w:rsidR="00E51CE0" w:rsidRPr="00212D31">
        <w:rPr>
          <w:rFonts w:ascii="Arial" w:hAnsi="Arial" w:cs="Arial"/>
          <w:sz w:val="24"/>
          <w:szCs w:val="24"/>
          <w:lang w:val="fr-BE"/>
        </w:rPr>
        <w:t>téristiques et essentiels de l’É</w:t>
      </w:r>
      <w:r w:rsidRPr="00212D31">
        <w:rPr>
          <w:rFonts w:ascii="Arial" w:hAnsi="Arial" w:cs="Arial"/>
          <w:sz w:val="24"/>
          <w:szCs w:val="24"/>
          <w:lang w:val="fr-BE"/>
        </w:rPr>
        <w:t>tat de droit et quelles sont ses sources. De façon répétée, la Commission renvoie à la jurisprudence de la Cour et énumère dans une annexe à sa communicatio</w:t>
      </w:r>
      <w:r w:rsidR="00C86680" w:rsidRPr="00212D31">
        <w:rPr>
          <w:rFonts w:ascii="Arial" w:hAnsi="Arial" w:cs="Arial"/>
          <w:sz w:val="24"/>
          <w:szCs w:val="24"/>
          <w:lang w:val="fr-BE"/>
        </w:rPr>
        <w:t>n les éléments essentiels de l’É</w:t>
      </w:r>
      <w:r w:rsidRPr="00212D31">
        <w:rPr>
          <w:rFonts w:ascii="Arial" w:hAnsi="Arial" w:cs="Arial"/>
          <w:sz w:val="24"/>
          <w:szCs w:val="24"/>
          <w:lang w:val="fr-BE"/>
        </w:rPr>
        <w:t xml:space="preserve">tat de droit. Il s’agit du principe de légalité, de la sécurité juridique, de l’interdiction de l’arbitraire dans l’exercice du pouvoir </w:t>
      </w:r>
      <w:r w:rsidR="00F13206" w:rsidRPr="00212D31">
        <w:rPr>
          <w:rFonts w:ascii="Arial" w:hAnsi="Arial" w:cs="Arial"/>
          <w:sz w:val="24"/>
          <w:szCs w:val="24"/>
          <w:lang w:val="fr-BE"/>
        </w:rPr>
        <w:t>exécutif</w:t>
      </w:r>
      <w:r w:rsidRPr="00212D31">
        <w:rPr>
          <w:rFonts w:ascii="Arial" w:hAnsi="Arial" w:cs="Arial"/>
          <w:sz w:val="24"/>
          <w:szCs w:val="24"/>
          <w:lang w:val="fr-BE"/>
        </w:rPr>
        <w:t>, de l’indépendance et l’effectivité du contrôle juridictionnel, y compris le respect des droits fondamentaux, du principe de séparation des pouvoirs tel qu’interprété par la Cour et de l’égalité devant la loi.</w:t>
      </w:r>
    </w:p>
    <w:p w14:paraId="517F6B74" w14:textId="0A9D1815" w:rsidR="00F46674" w:rsidRDefault="00F46674"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S’il existe des indices clairs d’une menace systémique à l’encontre des éléments précédemment énumérés, le nouveau mécanisme proposé par la Commission doit se déclencher et conduire en trois étapes à un résultat. Concrètement, la Commission doit tout d’abord évaluer la situation et engager un dialog</w:t>
      </w:r>
      <w:r w:rsidR="00C86680" w:rsidRPr="00212D31">
        <w:rPr>
          <w:rFonts w:ascii="Arial" w:hAnsi="Arial" w:cs="Arial"/>
          <w:sz w:val="24"/>
          <w:szCs w:val="24"/>
          <w:lang w:val="fr-BE"/>
        </w:rPr>
        <w:t>ue avec l’É</w:t>
      </w:r>
      <w:r w:rsidRPr="00212D31">
        <w:rPr>
          <w:rFonts w:ascii="Arial" w:hAnsi="Arial" w:cs="Arial"/>
          <w:sz w:val="24"/>
          <w:szCs w:val="24"/>
          <w:lang w:val="fr-BE"/>
        </w:rPr>
        <w:t>tat membre concern</w:t>
      </w:r>
      <w:r w:rsidR="00C86680" w:rsidRPr="00212D31">
        <w:rPr>
          <w:rFonts w:ascii="Arial" w:hAnsi="Arial" w:cs="Arial"/>
          <w:sz w:val="24"/>
          <w:szCs w:val="24"/>
          <w:lang w:val="fr-BE"/>
        </w:rPr>
        <w:t>é sur la base d’un „avis sur l’É</w:t>
      </w:r>
      <w:r w:rsidRPr="00212D31">
        <w:rPr>
          <w:rFonts w:ascii="Arial" w:hAnsi="Arial" w:cs="Arial"/>
          <w:sz w:val="24"/>
          <w:szCs w:val="24"/>
          <w:lang w:val="fr-BE"/>
        </w:rPr>
        <w:t>tat de droit“ visant à écarter d’éventuels malentendus. Si le problème n’a pas trouvé de solution satisfaisante, la deuxième étape est enclenché</w:t>
      </w:r>
      <w:r w:rsidR="00C86680" w:rsidRPr="00212D31">
        <w:rPr>
          <w:rFonts w:ascii="Arial" w:hAnsi="Arial" w:cs="Arial"/>
          <w:sz w:val="24"/>
          <w:szCs w:val="24"/>
          <w:lang w:val="fr-BE"/>
        </w:rPr>
        <w:t>e, qui consiste en l’envoi à l’É</w:t>
      </w:r>
      <w:r w:rsidRPr="00212D31">
        <w:rPr>
          <w:rFonts w:ascii="Arial" w:hAnsi="Arial" w:cs="Arial"/>
          <w:sz w:val="24"/>
          <w:szCs w:val="24"/>
          <w:lang w:val="fr-BE"/>
        </w:rPr>
        <w:t>tat membre concerné d’une „</w:t>
      </w:r>
      <w:r w:rsidR="00C86680" w:rsidRPr="00212D31">
        <w:rPr>
          <w:rFonts w:ascii="Arial" w:hAnsi="Arial" w:cs="Arial"/>
          <w:sz w:val="24"/>
          <w:szCs w:val="24"/>
          <w:lang w:val="fr-BE"/>
        </w:rPr>
        <w:t>recommandation [motivée] sur l’É</w:t>
      </w:r>
      <w:r w:rsidRPr="00212D31">
        <w:rPr>
          <w:rFonts w:ascii="Arial" w:hAnsi="Arial" w:cs="Arial"/>
          <w:sz w:val="24"/>
          <w:szCs w:val="24"/>
          <w:lang w:val="fr-BE"/>
        </w:rPr>
        <w:t>tat de droit“. Cette recommandation peut contenir des propositions concrètes pour remédier aux déficits systémiques et ses principaux éléments sont rendus publics. Lors de la troisième et dernière étape, la Commission</w:t>
      </w:r>
      <w:r w:rsidR="00C86680" w:rsidRPr="00212D31">
        <w:rPr>
          <w:rFonts w:ascii="Arial" w:hAnsi="Arial" w:cs="Arial"/>
          <w:sz w:val="24"/>
          <w:szCs w:val="24"/>
          <w:lang w:val="fr-BE"/>
        </w:rPr>
        <w:t xml:space="preserve"> contrôle le suivi donné par l’É</w:t>
      </w:r>
      <w:r w:rsidRPr="00212D31">
        <w:rPr>
          <w:rFonts w:ascii="Arial" w:hAnsi="Arial" w:cs="Arial"/>
          <w:sz w:val="24"/>
          <w:szCs w:val="24"/>
          <w:lang w:val="fr-BE"/>
        </w:rPr>
        <w:t>tat membre à sa recommandation, afin de décider, le cas échéant, de recourir à l’un des mécanismes prévus à l’article 7 du traité sur l’Union européenne en saisissant le Conseil.</w:t>
      </w:r>
    </w:p>
    <w:p w14:paraId="500B508C" w14:textId="77777777" w:rsidR="00212D31" w:rsidRPr="00212D31" w:rsidRDefault="00212D31" w:rsidP="00212D31">
      <w:pPr>
        <w:spacing w:after="0" w:line="240" w:lineRule="auto"/>
        <w:jc w:val="both"/>
        <w:rPr>
          <w:rFonts w:ascii="Arial" w:hAnsi="Arial" w:cs="Arial"/>
          <w:sz w:val="24"/>
          <w:szCs w:val="24"/>
          <w:lang w:val="fr-BE"/>
        </w:rPr>
      </w:pPr>
    </w:p>
    <w:p w14:paraId="204A2C37" w14:textId="67590B9C" w:rsidR="00F46674" w:rsidRDefault="00F46674"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L’article 7 du traité sur l’Union européenne prévoit une procédure</w:t>
      </w:r>
      <w:r w:rsidR="00997EFC" w:rsidRPr="00212D31">
        <w:rPr>
          <w:rFonts w:ascii="Arial" w:hAnsi="Arial" w:cs="Arial"/>
          <w:sz w:val="24"/>
          <w:szCs w:val="24"/>
          <w:lang w:val="fr-BE"/>
        </w:rPr>
        <w:t xml:space="preserve"> de sanction</w:t>
      </w:r>
      <w:r w:rsidRPr="00212D31">
        <w:rPr>
          <w:rFonts w:ascii="Arial" w:hAnsi="Arial" w:cs="Arial"/>
          <w:sz w:val="24"/>
          <w:szCs w:val="24"/>
          <w:lang w:val="fr-BE"/>
        </w:rPr>
        <w:t xml:space="preserve"> en plusieurs étapes qui s’ouvre avec la constatation, par le Conseil statuant à une large majorité</w:t>
      </w:r>
      <w:r w:rsidRPr="00212D31">
        <w:rPr>
          <w:rStyle w:val="Appelnotedebasdep"/>
          <w:rFonts w:ascii="Arial" w:hAnsi="Arial" w:cs="Arial"/>
          <w:sz w:val="24"/>
          <w:szCs w:val="24"/>
          <w:lang w:val="fr-BE"/>
        </w:rPr>
        <w:footnoteReference w:id="29"/>
      </w:r>
      <w:r w:rsidRPr="00212D31">
        <w:rPr>
          <w:rFonts w:ascii="Arial" w:hAnsi="Arial" w:cs="Arial"/>
          <w:sz w:val="24"/>
          <w:szCs w:val="24"/>
          <w:lang w:val="fr-BE"/>
        </w:rPr>
        <w:t>, „qu’il existe un risque clair de vio</w:t>
      </w:r>
      <w:r w:rsidR="00E51CE0" w:rsidRPr="00212D31">
        <w:rPr>
          <w:rFonts w:ascii="Arial" w:hAnsi="Arial" w:cs="Arial"/>
          <w:sz w:val="24"/>
          <w:szCs w:val="24"/>
          <w:lang w:val="fr-BE"/>
        </w:rPr>
        <w:t>lation grave par un É</w:t>
      </w:r>
      <w:r w:rsidR="001857E4" w:rsidRPr="00212D31">
        <w:rPr>
          <w:rFonts w:ascii="Arial" w:hAnsi="Arial" w:cs="Arial"/>
          <w:sz w:val="24"/>
          <w:szCs w:val="24"/>
          <w:lang w:val="fr-BE"/>
        </w:rPr>
        <w:t>tat membre</w:t>
      </w:r>
      <w:r w:rsidRPr="00212D31">
        <w:rPr>
          <w:rFonts w:ascii="Arial" w:hAnsi="Arial" w:cs="Arial"/>
          <w:sz w:val="24"/>
          <w:szCs w:val="24"/>
          <w:lang w:val="fr-BE"/>
        </w:rPr>
        <w:t xml:space="preserve"> des valeurs visées à l’article 2</w:t>
      </w:r>
      <w:r w:rsidR="00E51CE0" w:rsidRPr="00212D31">
        <w:rPr>
          <w:rFonts w:ascii="Arial" w:hAnsi="Arial" w:cs="Arial"/>
          <w:sz w:val="24"/>
          <w:szCs w:val="24"/>
          <w:lang w:val="fr-BE"/>
        </w:rPr>
        <w:t>“ </w:t>
      </w:r>
      <w:r w:rsidRPr="00212D31">
        <w:rPr>
          <w:rFonts w:ascii="Arial" w:hAnsi="Arial" w:cs="Arial"/>
          <w:sz w:val="24"/>
          <w:szCs w:val="24"/>
          <w:lang w:val="fr-BE"/>
        </w:rPr>
        <w:t xml:space="preserve"> du </w:t>
      </w:r>
      <w:r w:rsidR="00C86680" w:rsidRPr="00212D31">
        <w:rPr>
          <w:rFonts w:ascii="Arial" w:hAnsi="Arial" w:cs="Arial"/>
          <w:sz w:val="24"/>
          <w:szCs w:val="24"/>
          <w:lang w:val="fr-BE"/>
        </w:rPr>
        <w:t>traité – donc aussi de l’É</w:t>
      </w:r>
      <w:r w:rsidR="00E51CE0" w:rsidRPr="00212D31">
        <w:rPr>
          <w:rFonts w:ascii="Arial" w:hAnsi="Arial" w:cs="Arial"/>
          <w:sz w:val="24"/>
          <w:szCs w:val="24"/>
          <w:lang w:val="fr-BE"/>
        </w:rPr>
        <w:t>tat de droit</w:t>
      </w:r>
      <w:r w:rsidRPr="00212D31">
        <w:rPr>
          <w:rStyle w:val="Appelnotedebasdep"/>
          <w:rFonts w:ascii="Arial" w:hAnsi="Arial" w:cs="Arial"/>
          <w:sz w:val="24"/>
          <w:szCs w:val="24"/>
          <w:lang w:val="fr-BE"/>
        </w:rPr>
        <w:footnoteReference w:id="30"/>
      </w:r>
      <w:r w:rsidRPr="00212D31">
        <w:rPr>
          <w:rFonts w:ascii="Arial" w:hAnsi="Arial" w:cs="Arial"/>
          <w:sz w:val="24"/>
          <w:szCs w:val="24"/>
          <w:lang w:val="fr-BE"/>
        </w:rPr>
        <w:t>. C’est l’unanimité au Conseil européen, donc au niveau des chefs d’</w:t>
      </w:r>
      <w:r w:rsidR="00C86680" w:rsidRPr="00212D31">
        <w:rPr>
          <w:rFonts w:ascii="Arial" w:hAnsi="Arial" w:cs="Arial"/>
          <w:sz w:val="24"/>
          <w:szCs w:val="24"/>
          <w:lang w:val="fr-BE"/>
        </w:rPr>
        <w:t>État et de gouvernement des É</w:t>
      </w:r>
      <w:r w:rsidRPr="00212D31">
        <w:rPr>
          <w:rFonts w:ascii="Arial" w:hAnsi="Arial" w:cs="Arial"/>
          <w:sz w:val="24"/>
          <w:szCs w:val="24"/>
          <w:lang w:val="fr-BE"/>
        </w:rPr>
        <w:t>tats membres, qui est requise pour constater l’existence d’une violation grave et persistante de ces mêmes valeurs</w:t>
      </w:r>
      <w:r w:rsidRPr="00212D31">
        <w:rPr>
          <w:rStyle w:val="Appelnotedebasdep"/>
          <w:rFonts w:ascii="Arial" w:hAnsi="Arial" w:cs="Arial"/>
          <w:sz w:val="24"/>
          <w:szCs w:val="24"/>
          <w:lang w:val="fr-BE"/>
        </w:rPr>
        <w:footnoteReference w:id="31"/>
      </w:r>
      <w:r w:rsidRPr="00212D31">
        <w:rPr>
          <w:rFonts w:ascii="Arial" w:hAnsi="Arial" w:cs="Arial"/>
          <w:sz w:val="24"/>
          <w:szCs w:val="24"/>
          <w:lang w:val="fr-BE"/>
        </w:rPr>
        <w:t>; constatation qui peut conduire à son tour à ce que le Conseil, statuant à la majorité qualifiée, décide de suspendre certains des droits découlant de</w:t>
      </w:r>
      <w:r w:rsidR="00C86680" w:rsidRPr="00212D31">
        <w:rPr>
          <w:rFonts w:ascii="Arial" w:hAnsi="Arial" w:cs="Arial"/>
          <w:sz w:val="24"/>
          <w:szCs w:val="24"/>
          <w:lang w:val="fr-BE"/>
        </w:rPr>
        <w:t xml:space="preserve"> l’application des traités à l’É</w:t>
      </w:r>
      <w:r w:rsidRPr="00212D31">
        <w:rPr>
          <w:rFonts w:ascii="Arial" w:hAnsi="Arial" w:cs="Arial"/>
          <w:sz w:val="24"/>
          <w:szCs w:val="24"/>
          <w:lang w:val="fr-BE"/>
        </w:rPr>
        <w:t>tat membre en question, y compris les droits de vote au sein du Conseil</w:t>
      </w:r>
      <w:r w:rsidRPr="00212D31">
        <w:rPr>
          <w:rStyle w:val="Appelnotedebasdep"/>
          <w:rFonts w:ascii="Arial" w:hAnsi="Arial" w:cs="Arial"/>
          <w:sz w:val="24"/>
          <w:szCs w:val="24"/>
          <w:lang w:val="fr-BE"/>
        </w:rPr>
        <w:footnoteReference w:id="32"/>
      </w:r>
      <w:r w:rsidRPr="00212D31">
        <w:rPr>
          <w:rFonts w:ascii="Arial" w:hAnsi="Arial" w:cs="Arial"/>
          <w:sz w:val="24"/>
          <w:szCs w:val="24"/>
          <w:lang w:val="fr-BE"/>
        </w:rPr>
        <w:t>.</w:t>
      </w:r>
    </w:p>
    <w:p w14:paraId="5D1DF388" w14:textId="77777777" w:rsidR="00212D31" w:rsidRPr="00212D31" w:rsidRDefault="00212D31" w:rsidP="00212D31">
      <w:pPr>
        <w:spacing w:after="0" w:line="240" w:lineRule="auto"/>
        <w:jc w:val="both"/>
        <w:rPr>
          <w:rFonts w:ascii="Arial" w:hAnsi="Arial" w:cs="Arial"/>
          <w:sz w:val="24"/>
          <w:szCs w:val="24"/>
          <w:lang w:val="fr-BE"/>
        </w:rPr>
      </w:pPr>
    </w:p>
    <w:p w14:paraId="588F031C" w14:textId="4C36E9DE" w:rsidR="00F46674" w:rsidRDefault="00F46674"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lastRenderedPageBreak/>
        <w:t>La communication de la Commission, laquelle détient, à côté du Parlem</w:t>
      </w:r>
      <w:r w:rsidR="00C86680" w:rsidRPr="00212D31">
        <w:rPr>
          <w:rFonts w:ascii="Arial" w:hAnsi="Arial" w:cs="Arial"/>
          <w:sz w:val="24"/>
          <w:szCs w:val="24"/>
          <w:lang w:val="fr-BE"/>
        </w:rPr>
        <w:t>ent européen et d’un tiers des É</w:t>
      </w:r>
      <w:r w:rsidRPr="00212D31">
        <w:rPr>
          <w:rFonts w:ascii="Arial" w:hAnsi="Arial" w:cs="Arial"/>
          <w:sz w:val="24"/>
          <w:szCs w:val="24"/>
          <w:lang w:val="fr-BE"/>
        </w:rPr>
        <w:t>tats membres, le droit de saisine du Conseil afin de lancer la procédure prévue à l’article 7 du traité sur l’Union européenne, a pour objectif de donner vie à cet article pour ce qui es</w:t>
      </w:r>
      <w:r w:rsidR="00C86680" w:rsidRPr="00212D31">
        <w:rPr>
          <w:rFonts w:ascii="Arial" w:hAnsi="Arial" w:cs="Arial"/>
          <w:sz w:val="24"/>
          <w:szCs w:val="24"/>
          <w:lang w:val="fr-BE"/>
        </w:rPr>
        <w:t>t du respect de l’É</w:t>
      </w:r>
      <w:r w:rsidRPr="00212D31">
        <w:rPr>
          <w:rFonts w:ascii="Arial" w:hAnsi="Arial" w:cs="Arial"/>
          <w:sz w:val="24"/>
          <w:szCs w:val="24"/>
          <w:lang w:val="fr-BE"/>
        </w:rPr>
        <w:t>tat de droit. Une telle initiative est certainement louable et a le mérite d’attirer l’attention sur des incidents considérés comme problématiques en c</w:t>
      </w:r>
      <w:r w:rsidR="00C86680" w:rsidRPr="00212D31">
        <w:rPr>
          <w:rFonts w:ascii="Arial" w:hAnsi="Arial" w:cs="Arial"/>
          <w:sz w:val="24"/>
          <w:szCs w:val="24"/>
          <w:lang w:val="fr-BE"/>
        </w:rPr>
        <w:t>e qui concerne le respect de l’É</w:t>
      </w:r>
      <w:r w:rsidRPr="00212D31">
        <w:rPr>
          <w:rFonts w:ascii="Arial" w:hAnsi="Arial" w:cs="Arial"/>
          <w:sz w:val="24"/>
          <w:szCs w:val="24"/>
          <w:lang w:val="fr-BE"/>
        </w:rPr>
        <w:t>tat de droit. Elle soulève en même temps une série de questions auxquelles il n’est pas facile de répondre</w:t>
      </w:r>
      <w:r w:rsidR="00D57884" w:rsidRPr="00212D31">
        <w:rPr>
          <w:rStyle w:val="Appelnotedebasdep"/>
          <w:rFonts w:ascii="Arial" w:hAnsi="Arial" w:cs="Arial"/>
          <w:sz w:val="24"/>
          <w:szCs w:val="24"/>
          <w:lang w:val="fr-BE"/>
        </w:rPr>
        <w:footnoteReference w:id="33"/>
      </w:r>
      <w:r w:rsidRPr="00212D31">
        <w:rPr>
          <w:rFonts w:ascii="Arial" w:hAnsi="Arial" w:cs="Arial"/>
          <w:sz w:val="24"/>
          <w:szCs w:val="24"/>
          <w:lang w:val="fr-BE"/>
        </w:rPr>
        <w:t xml:space="preserve">. En particulier, il reste à clarifier la question de savoir si la Commission doit disposer d’une base juridique particulière pour lancer sa procédure en trois étapes et, dans ce cas, si c’est l’article 7 du traité sur l’Union européenne lui-même qui fournit cette base, ou bien si la communication de la Commission est à traiter comme un instrument de </w:t>
      </w:r>
      <w:r w:rsidRPr="00212D31">
        <w:rPr>
          <w:rFonts w:ascii="Arial" w:hAnsi="Arial" w:cs="Arial"/>
          <w:i/>
          <w:sz w:val="24"/>
          <w:szCs w:val="24"/>
          <w:lang w:val="fr-BE"/>
        </w:rPr>
        <w:t xml:space="preserve">soft </w:t>
      </w:r>
      <w:proofErr w:type="spellStart"/>
      <w:r w:rsidRPr="00212D31">
        <w:rPr>
          <w:rFonts w:ascii="Arial" w:hAnsi="Arial" w:cs="Arial"/>
          <w:i/>
          <w:sz w:val="24"/>
          <w:szCs w:val="24"/>
          <w:lang w:val="fr-BE"/>
        </w:rPr>
        <w:t>law</w:t>
      </w:r>
      <w:proofErr w:type="spellEnd"/>
      <w:r w:rsidRPr="00212D31">
        <w:rPr>
          <w:rFonts w:ascii="Arial" w:hAnsi="Arial" w:cs="Arial"/>
          <w:sz w:val="24"/>
          <w:szCs w:val="24"/>
          <w:lang w:val="fr-BE"/>
        </w:rPr>
        <w:t>, sans valeur juridique contraignante, et, dans ce cas, si l’initiative de la Commission pourrait se passer d’une base juridique clairement identifiée. On pourrait songer dans ce contexte à ce que l‘action de la Commission, dans sa deuxième étape, débouche sur l’adoption d‘une recommandation sur le</w:t>
      </w:r>
      <w:r w:rsidR="001857E4" w:rsidRPr="00212D31">
        <w:rPr>
          <w:rFonts w:ascii="Arial" w:hAnsi="Arial" w:cs="Arial"/>
          <w:sz w:val="24"/>
          <w:szCs w:val="24"/>
          <w:lang w:val="fr-BE"/>
        </w:rPr>
        <w:t xml:space="preserve"> fondement de l’article 288 du T</w:t>
      </w:r>
      <w:r w:rsidRPr="00212D31">
        <w:rPr>
          <w:rFonts w:ascii="Arial" w:hAnsi="Arial" w:cs="Arial"/>
          <w:sz w:val="24"/>
          <w:szCs w:val="24"/>
          <w:lang w:val="fr-BE"/>
        </w:rPr>
        <w:t>raité sur le fonctionnement de l’Union européenne. Bien que cet article précise que les recommandations ne lient pas, et qu’elles ne visent donc pas à produire des effets contraignants, il ressort de la jurisprudence de la Cour qu’elles ne sont cependant pas dépourvues de tout effet juridique</w:t>
      </w:r>
      <w:r w:rsidRPr="00212D31">
        <w:rPr>
          <w:rStyle w:val="Appelnotedebasdep"/>
          <w:rFonts w:ascii="Arial" w:hAnsi="Arial" w:cs="Arial"/>
          <w:sz w:val="24"/>
          <w:szCs w:val="24"/>
          <w:lang w:val="fr-BE"/>
        </w:rPr>
        <w:footnoteReference w:id="34"/>
      </w:r>
      <w:r w:rsidRPr="00212D31">
        <w:rPr>
          <w:rFonts w:ascii="Arial" w:hAnsi="Arial" w:cs="Arial"/>
          <w:sz w:val="24"/>
          <w:szCs w:val="24"/>
          <w:lang w:val="fr-BE"/>
        </w:rPr>
        <w:t>.</w:t>
      </w:r>
    </w:p>
    <w:p w14:paraId="61149F17" w14:textId="77777777" w:rsidR="00212D31" w:rsidRPr="00212D31" w:rsidRDefault="00212D31" w:rsidP="00212D31">
      <w:pPr>
        <w:spacing w:after="0" w:line="240" w:lineRule="auto"/>
        <w:jc w:val="both"/>
        <w:rPr>
          <w:rFonts w:ascii="Arial" w:hAnsi="Arial" w:cs="Arial"/>
          <w:sz w:val="24"/>
          <w:szCs w:val="24"/>
          <w:lang w:val="fr-BE"/>
        </w:rPr>
      </w:pPr>
    </w:p>
    <w:p w14:paraId="212322A8" w14:textId="0826510C" w:rsidR="007039C6" w:rsidRDefault="00CE137C"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 xml:space="preserve">Le Parlement </w:t>
      </w:r>
      <w:r w:rsidR="004F0ECD" w:rsidRPr="00212D31">
        <w:rPr>
          <w:rFonts w:ascii="Arial" w:hAnsi="Arial" w:cs="Arial"/>
          <w:sz w:val="24"/>
          <w:szCs w:val="24"/>
          <w:lang w:val="fr-BE"/>
        </w:rPr>
        <w:t>a réagi à cette</w:t>
      </w:r>
      <w:r w:rsidRPr="00212D31">
        <w:rPr>
          <w:rFonts w:ascii="Arial" w:hAnsi="Arial" w:cs="Arial"/>
          <w:sz w:val="24"/>
          <w:szCs w:val="24"/>
          <w:lang w:val="fr-BE"/>
        </w:rPr>
        <w:t xml:space="preserve"> communication </w:t>
      </w:r>
      <w:r w:rsidR="004F0ECD" w:rsidRPr="00212D31">
        <w:rPr>
          <w:rFonts w:ascii="Arial" w:hAnsi="Arial" w:cs="Arial"/>
          <w:sz w:val="24"/>
          <w:szCs w:val="24"/>
          <w:lang w:val="fr-BE"/>
        </w:rPr>
        <w:t>par</w:t>
      </w:r>
      <w:r w:rsidRPr="00212D31">
        <w:rPr>
          <w:rFonts w:ascii="Arial" w:hAnsi="Arial" w:cs="Arial"/>
          <w:sz w:val="24"/>
          <w:szCs w:val="24"/>
          <w:lang w:val="fr-BE"/>
        </w:rPr>
        <w:t xml:space="preserve"> un rapport dans lequel il confirme les doutes </w:t>
      </w:r>
      <w:r w:rsidR="0037000E" w:rsidRPr="00212D31">
        <w:rPr>
          <w:rFonts w:ascii="Arial" w:hAnsi="Arial" w:cs="Arial"/>
          <w:sz w:val="24"/>
          <w:szCs w:val="24"/>
          <w:lang w:val="fr-BE"/>
        </w:rPr>
        <w:t xml:space="preserve">susmentionnés quant </w:t>
      </w:r>
      <w:r w:rsidR="004F0ECD" w:rsidRPr="00212D31">
        <w:rPr>
          <w:rFonts w:ascii="Arial" w:hAnsi="Arial" w:cs="Arial"/>
          <w:sz w:val="24"/>
          <w:szCs w:val="24"/>
          <w:lang w:val="fr-BE"/>
        </w:rPr>
        <w:t>au caractère contraignant des mesures envisagées</w:t>
      </w:r>
      <w:r w:rsidR="007039C6" w:rsidRPr="00212D31">
        <w:rPr>
          <w:rStyle w:val="Appelnotedebasdep"/>
          <w:rFonts w:ascii="Arial" w:hAnsi="Arial" w:cs="Arial"/>
          <w:sz w:val="24"/>
          <w:szCs w:val="24"/>
          <w:lang w:val="fr-BE"/>
        </w:rPr>
        <w:footnoteReference w:id="35"/>
      </w:r>
      <w:r w:rsidR="0037000E" w:rsidRPr="00212D31">
        <w:rPr>
          <w:rFonts w:ascii="Arial" w:hAnsi="Arial" w:cs="Arial"/>
          <w:sz w:val="24"/>
          <w:szCs w:val="24"/>
          <w:lang w:val="fr-BE"/>
        </w:rPr>
        <w:t xml:space="preserve">. </w:t>
      </w:r>
      <w:r w:rsidR="004F0ECD" w:rsidRPr="00212D31">
        <w:rPr>
          <w:rFonts w:ascii="Arial" w:hAnsi="Arial" w:cs="Arial"/>
          <w:sz w:val="24"/>
          <w:szCs w:val="24"/>
          <w:lang w:val="fr-BE"/>
        </w:rPr>
        <w:t>Il propose</w:t>
      </w:r>
      <w:r w:rsidR="0037000E" w:rsidRPr="00212D31">
        <w:rPr>
          <w:rFonts w:ascii="Arial" w:hAnsi="Arial" w:cs="Arial"/>
          <w:sz w:val="24"/>
          <w:szCs w:val="24"/>
          <w:lang w:val="fr-BE"/>
        </w:rPr>
        <w:t xml:space="preserve"> des modifications en vue d’une amélioration et une plus grande effectivité des mesures </w:t>
      </w:r>
      <w:r w:rsidR="004F0ECD" w:rsidRPr="00212D31">
        <w:rPr>
          <w:rFonts w:ascii="Arial" w:hAnsi="Arial" w:cs="Arial"/>
          <w:sz w:val="24"/>
          <w:szCs w:val="24"/>
          <w:lang w:val="fr-BE"/>
        </w:rPr>
        <w:t>envisag</w:t>
      </w:r>
      <w:r w:rsidR="0037000E" w:rsidRPr="00212D31">
        <w:rPr>
          <w:rFonts w:ascii="Arial" w:hAnsi="Arial" w:cs="Arial"/>
          <w:sz w:val="24"/>
          <w:szCs w:val="24"/>
          <w:lang w:val="fr-BE"/>
        </w:rPr>
        <w:t>ées par la Commission</w:t>
      </w:r>
      <w:r w:rsidR="004F0ECD" w:rsidRPr="00212D31">
        <w:rPr>
          <w:rFonts w:ascii="Arial" w:hAnsi="Arial" w:cs="Arial"/>
          <w:sz w:val="24"/>
          <w:szCs w:val="24"/>
          <w:lang w:val="fr-BE"/>
        </w:rPr>
        <w:t xml:space="preserve"> et invite cette dernière, entre autres,</w:t>
      </w:r>
      <w:r w:rsidR="0037000E" w:rsidRPr="00212D31">
        <w:rPr>
          <w:rFonts w:ascii="Arial" w:hAnsi="Arial" w:cs="Arial"/>
          <w:sz w:val="24"/>
          <w:szCs w:val="24"/>
          <w:lang w:val="fr-BE"/>
        </w:rPr>
        <w:t xml:space="preserve"> à </w:t>
      </w:r>
      <w:r w:rsidR="004F0ECD" w:rsidRPr="00212D31">
        <w:rPr>
          <w:rFonts w:ascii="Arial" w:hAnsi="Arial" w:cs="Arial"/>
          <w:sz w:val="24"/>
          <w:szCs w:val="24"/>
          <w:lang w:val="fr-BE"/>
        </w:rPr>
        <w:t>lancer</w:t>
      </w:r>
      <w:r w:rsidR="0037000E" w:rsidRPr="00212D31">
        <w:rPr>
          <w:rFonts w:ascii="Arial" w:hAnsi="Arial" w:cs="Arial"/>
          <w:sz w:val="24"/>
          <w:szCs w:val="24"/>
          <w:lang w:val="fr-BE"/>
        </w:rPr>
        <w:t xml:space="preserve"> des procédures d’infraction en cas de violation de l’article 2</w:t>
      </w:r>
      <w:r w:rsidR="004F0ECD" w:rsidRPr="00212D31">
        <w:rPr>
          <w:rFonts w:ascii="Arial" w:hAnsi="Arial" w:cs="Arial"/>
          <w:sz w:val="24"/>
          <w:szCs w:val="24"/>
          <w:lang w:val="fr-BE"/>
        </w:rPr>
        <w:t xml:space="preserve"> du traité sur l’Union européenne</w:t>
      </w:r>
      <w:r w:rsidR="00422339" w:rsidRPr="00212D31">
        <w:rPr>
          <w:rFonts w:ascii="Arial" w:hAnsi="Arial" w:cs="Arial"/>
          <w:sz w:val="24"/>
          <w:szCs w:val="24"/>
          <w:lang w:val="fr-BE"/>
        </w:rPr>
        <w:t>.</w:t>
      </w:r>
    </w:p>
    <w:p w14:paraId="6F282AC4" w14:textId="77777777" w:rsidR="00212D31" w:rsidRPr="00212D31" w:rsidRDefault="00212D31" w:rsidP="00212D31">
      <w:pPr>
        <w:spacing w:after="0" w:line="240" w:lineRule="auto"/>
        <w:jc w:val="both"/>
        <w:rPr>
          <w:rFonts w:ascii="Arial" w:hAnsi="Arial" w:cs="Arial"/>
          <w:sz w:val="24"/>
          <w:szCs w:val="24"/>
          <w:lang w:val="fr-BE"/>
        </w:rPr>
      </w:pPr>
    </w:p>
    <w:p w14:paraId="44EA1389" w14:textId="2DA55204" w:rsidR="00422339" w:rsidRPr="00212D31" w:rsidRDefault="00E70E67" w:rsidP="00212D31">
      <w:pPr>
        <w:spacing w:after="0" w:line="240" w:lineRule="auto"/>
        <w:jc w:val="both"/>
        <w:rPr>
          <w:rFonts w:ascii="Arial" w:hAnsi="Arial" w:cs="Arial"/>
          <w:sz w:val="24"/>
          <w:szCs w:val="24"/>
          <w:lang w:val="fr-BE"/>
        </w:rPr>
      </w:pPr>
      <w:r w:rsidRPr="00212D31">
        <w:rPr>
          <w:rFonts w:ascii="Arial" w:hAnsi="Arial" w:cs="Arial"/>
          <w:sz w:val="24"/>
          <w:szCs w:val="24"/>
          <w:lang w:val="fr-BE"/>
        </w:rPr>
        <w:t>S’il serait certainement utile de se pencher plus avant sur ces questio</w:t>
      </w:r>
      <w:r w:rsidR="00D57884" w:rsidRPr="00212D31">
        <w:rPr>
          <w:rFonts w:ascii="Arial" w:hAnsi="Arial" w:cs="Arial"/>
          <w:sz w:val="24"/>
          <w:szCs w:val="24"/>
          <w:lang w:val="fr-BE"/>
        </w:rPr>
        <w:t>ns, je m’en abstiendrai dans mon présent</w:t>
      </w:r>
      <w:r w:rsidRPr="00212D31">
        <w:rPr>
          <w:rFonts w:ascii="Arial" w:hAnsi="Arial" w:cs="Arial"/>
          <w:sz w:val="24"/>
          <w:szCs w:val="24"/>
          <w:lang w:val="fr-BE"/>
        </w:rPr>
        <w:t xml:space="preserve"> propos car il n’est pas exclu </w:t>
      </w:r>
      <w:r w:rsidR="0042741D" w:rsidRPr="00212D31">
        <w:rPr>
          <w:rFonts w:ascii="Arial" w:hAnsi="Arial" w:cs="Arial"/>
          <w:sz w:val="24"/>
          <w:szCs w:val="24"/>
          <w:lang w:val="fr-BE"/>
        </w:rPr>
        <w:t xml:space="preserve">– et, au vu des récents événements, je dirais même qu’il est probable – </w:t>
      </w:r>
      <w:r w:rsidRPr="00212D31">
        <w:rPr>
          <w:rFonts w:ascii="Arial" w:hAnsi="Arial" w:cs="Arial"/>
          <w:sz w:val="24"/>
          <w:szCs w:val="24"/>
          <w:lang w:val="fr-BE"/>
        </w:rPr>
        <w:t xml:space="preserve">que la Cour y soit confrontée </w:t>
      </w:r>
      <w:r w:rsidR="004F0ECD" w:rsidRPr="00212D31">
        <w:rPr>
          <w:rFonts w:ascii="Arial" w:hAnsi="Arial" w:cs="Arial"/>
          <w:sz w:val="24"/>
          <w:szCs w:val="24"/>
          <w:lang w:val="fr-BE"/>
        </w:rPr>
        <w:t>prochainement, sous un angle ou un</w:t>
      </w:r>
      <w:r w:rsidRPr="00212D31">
        <w:rPr>
          <w:rFonts w:ascii="Arial" w:hAnsi="Arial" w:cs="Arial"/>
          <w:sz w:val="24"/>
          <w:szCs w:val="24"/>
          <w:lang w:val="fr-BE"/>
        </w:rPr>
        <w:t xml:space="preserve"> autre</w:t>
      </w:r>
      <w:r w:rsidR="004F0ECD" w:rsidRPr="00212D31">
        <w:rPr>
          <w:rFonts w:ascii="Arial" w:hAnsi="Arial" w:cs="Arial"/>
          <w:sz w:val="24"/>
          <w:szCs w:val="24"/>
          <w:lang w:val="fr-BE"/>
        </w:rPr>
        <w:t>, dans le cadre de sa saisine</w:t>
      </w:r>
      <w:r w:rsidRPr="00212D31">
        <w:rPr>
          <w:rFonts w:ascii="Arial" w:hAnsi="Arial" w:cs="Arial"/>
          <w:sz w:val="24"/>
          <w:szCs w:val="24"/>
          <w:lang w:val="fr-BE"/>
        </w:rPr>
        <w:t>. Ce qui m‘importait de souligner en évoquant la récente initiative de la Commiss</w:t>
      </w:r>
      <w:r w:rsidR="004F0ECD" w:rsidRPr="00212D31">
        <w:rPr>
          <w:rFonts w:ascii="Arial" w:hAnsi="Arial" w:cs="Arial"/>
          <w:sz w:val="24"/>
          <w:szCs w:val="24"/>
          <w:lang w:val="fr-BE"/>
        </w:rPr>
        <w:t>ion est que cette dernière a cru</w:t>
      </w:r>
      <w:r w:rsidRPr="00212D31">
        <w:rPr>
          <w:rFonts w:ascii="Arial" w:hAnsi="Arial" w:cs="Arial"/>
          <w:sz w:val="24"/>
          <w:szCs w:val="24"/>
          <w:lang w:val="fr-BE"/>
        </w:rPr>
        <w:t xml:space="preserve"> constater des déficits au niveau du respect de l’État de droit dans certains États membres, qu’elle considère que ces déficits sont à traiter au niveau de l’Union européenne et qu’elle veut </w:t>
      </w:r>
      <w:r w:rsidR="004F0ECD" w:rsidRPr="00212D31">
        <w:rPr>
          <w:rFonts w:ascii="Arial" w:hAnsi="Arial" w:cs="Arial"/>
          <w:sz w:val="24"/>
          <w:szCs w:val="24"/>
          <w:lang w:val="fr-BE"/>
        </w:rPr>
        <w:t>disposer de l’arsenal nécessaire</w:t>
      </w:r>
      <w:r w:rsidRPr="00212D31">
        <w:rPr>
          <w:rFonts w:ascii="Arial" w:hAnsi="Arial" w:cs="Arial"/>
          <w:sz w:val="24"/>
          <w:szCs w:val="24"/>
          <w:lang w:val="fr-BE"/>
        </w:rPr>
        <w:t xml:space="preserve"> pour y mettre fin.</w:t>
      </w:r>
    </w:p>
    <w:p w14:paraId="05A713BE" w14:textId="77777777" w:rsidR="00E70E67" w:rsidRPr="00212D31" w:rsidRDefault="00E70E67" w:rsidP="00212D31">
      <w:pPr>
        <w:spacing w:after="0" w:line="240" w:lineRule="auto"/>
        <w:jc w:val="both"/>
        <w:rPr>
          <w:rFonts w:ascii="Arial" w:hAnsi="Arial" w:cs="Arial"/>
          <w:sz w:val="24"/>
          <w:szCs w:val="24"/>
          <w:lang w:val="fr-BE"/>
        </w:rPr>
      </w:pPr>
    </w:p>
    <w:p w14:paraId="41394D74" w14:textId="77777777" w:rsidR="00093E75" w:rsidRPr="00212D31" w:rsidRDefault="00093E75" w:rsidP="00212D31">
      <w:pPr>
        <w:spacing w:after="0" w:line="240" w:lineRule="auto"/>
        <w:jc w:val="both"/>
        <w:rPr>
          <w:rFonts w:ascii="Arial" w:eastAsia="Calibri" w:hAnsi="Arial" w:cs="Arial"/>
          <w:color w:val="C00000"/>
          <w:sz w:val="28"/>
          <w:szCs w:val="28"/>
          <w:lang w:val="fr-BE"/>
        </w:rPr>
      </w:pPr>
      <w:r w:rsidRPr="00212D31">
        <w:rPr>
          <w:rFonts w:ascii="Arial" w:eastAsia="Calibri" w:hAnsi="Arial" w:cs="Arial"/>
          <w:b/>
          <w:color w:val="C00000"/>
          <w:sz w:val="28"/>
          <w:szCs w:val="28"/>
          <w:lang w:val="fr-BE"/>
        </w:rPr>
        <w:t>V. Perspective</w:t>
      </w:r>
      <w:r w:rsidRPr="00212D31">
        <w:rPr>
          <w:rFonts w:ascii="Arial" w:eastAsia="Calibri" w:hAnsi="Arial" w:cs="Arial"/>
          <w:color w:val="C00000"/>
          <w:sz w:val="28"/>
          <w:szCs w:val="28"/>
          <w:lang w:val="fr-BE"/>
        </w:rPr>
        <w:t xml:space="preserve"> </w:t>
      </w:r>
    </w:p>
    <w:p w14:paraId="72FD933E" w14:textId="77777777" w:rsidR="00212D31" w:rsidRDefault="00212D31" w:rsidP="00212D31">
      <w:pPr>
        <w:spacing w:after="0" w:line="240" w:lineRule="auto"/>
        <w:jc w:val="both"/>
        <w:rPr>
          <w:rFonts w:ascii="Arial" w:eastAsia="Calibri" w:hAnsi="Arial" w:cs="Arial"/>
          <w:sz w:val="24"/>
          <w:szCs w:val="24"/>
          <w:lang w:val="fr-BE"/>
        </w:rPr>
      </w:pPr>
    </w:p>
    <w:p w14:paraId="4E5D2552" w14:textId="77777777" w:rsidR="00093E75" w:rsidRDefault="00093E75" w:rsidP="00212D31">
      <w:pPr>
        <w:spacing w:after="0" w:line="240" w:lineRule="auto"/>
        <w:jc w:val="both"/>
        <w:rPr>
          <w:rFonts w:ascii="Arial" w:eastAsia="Calibri" w:hAnsi="Arial" w:cs="Arial"/>
          <w:sz w:val="24"/>
          <w:szCs w:val="24"/>
          <w:lang w:val="fr-BE"/>
        </w:rPr>
      </w:pPr>
      <w:r w:rsidRPr="00212D31">
        <w:rPr>
          <w:rFonts w:ascii="Arial" w:eastAsia="Calibri" w:hAnsi="Arial" w:cs="Arial"/>
          <w:b/>
          <w:i/>
          <w:color w:val="C00000"/>
          <w:sz w:val="28"/>
          <w:szCs w:val="28"/>
          <w:lang w:val="fr-BE"/>
        </w:rPr>
        <w:t>C</w:t>
      </w:r>
      <w:r w:rsidRPr="00212D31">
        <w:rPr>
          <w:rFonts w:ascii="Arial" w:eastAsia="Calibri" w:hAnsi="Arial" w:cs="Arial"/>
          <w:sz w:val="24"/>
          <w:szCs w:val="24"/>
          <w:lang w:val="fr-BE"/>
        </w:rPr>
        <w:t xml:space="preserve">es remarques plutôt déprimantes sur la possible existence de déficits au niveau du respect de l’Etat de droit dans l’Union européenne m’amènent à la fin de mon propos. Certains pourraient se demander, à la lecture de la communication de la Commission précédemment évoquée, à quoi sert l’Union européenne si cette </w:t>
      </w:r>
      <w:r w:rsidRPr="00212D31">
        <w:rPr>
          <w:rFonts w:ascii="Arial" w:eastAsia="Calibri" w:hAnsi="Arial" w:cs="Arial"/>
          <w:sz w:val="24"/>
          <w:szCs w:val="24"/>
          <w:lang w:val="fr-BE"/>
        </w:rPr>
        <w:lastRenderedPageBreak/>
        <w:t>dernière ne réussit même pas à garantir le respect de l’Etat de droit dans ses Etats membres. A cette objection, il convient de répondre que l’Etat de droit, tout comme les autres valeurs fondamentales sur lesquelles repose l’Union européenne telles que spécifiées à l’article 2 du traité sur l’Union européenne, ne sont pas statiques en ce sens qu’elles seraient acquises une fois pour toutes, mais requièrent au contraire toute notre attention et nos efforts pour être préservées et développées. En particulier, le principe de l’Etat de droit dans sa fonction de défense de droits individuels élémentaires ainsi que de protection des minorités dans la société peut aisément être mis en péril et doit sans cesse résister à l‘épreuve. En effet, en temps de crise émergent ici et là des majorités dans la population qui, sentant leur prospérité menacée et craignant l’inconnu, ont recours à des moyens qui ébranlent les acquis de l’Etat de droit. Pour ne pas en arriver là, il faut employer avec prudence les instruments dont disposent les démocraties, afin d‘empêcher que ces dernières ne vainquent l’Etat de droit et que des méthodes populistes ne conduisent à la domination écrasante de la majorité sur la minorité.</w:t>
      </w:r>
    </w:p>
    <w:p w14:paraId="630D9B87" w14:textId="77777777" w:rsidR="00212D31" w:rsidRPr="00212D31" w:rsidRDefault="00212D31" w:rsidP="00212D31">
      <w:pPr>
        <w:spacing w:after="0" w:line="240" w:lineRule="auto"/>
        <w:jc w:val="both"/>
        <w:rPr>
          <w:rFonts w:ascii="Arial" w:eastAsia="Calibri" w:hAnsi="Arial" w:cs="Arial"/>
          <w:sz w:val="24"/>
          <w:szCs w:val="24"/>
          <w:lang w:val="fr-BE"/>
        </w:rPr>
      </w:pPr>
    </w:p>
    <w:p w14:paraId="666D8DE2" w14:textId="08B6A91E" w:rsidR="00093E75" w:rsidRDefault="00093E75" w:rsidP="00212D31">
      <w:pPr>
        <w:spacing w:after="0" w:line="240" w:lineRule="auto"/>
        <w:jc w:val="both"/>
        <w:rPr>
          <w:rFonts w:ascii="Arial" w:eastAsia="Calibri" w:hAnsi="Arial" w:cs="Arial"/>
          <w:sz w:val="24"/>
          <w:szCs w:val="24"/>
          <w:lang w:val="fr-BE"/>
        </w:rPr>
      </w:pPr>
      <w:r w:rsidRPr="00212D31">
        <w:rPr>
          <w:rFonts w:ascii="Arial" w:eastAsia="Calibri" w:hAnsi="Arial" w:cs="Arial"/>
          <w:sz w:val="24"/>
          <w:szCs w:val="24"/>
          <w:lang w:val="fr-BE"/>
        </w:rPr>
        <w:t>Permettez-moi d’</w:t>
      </w:r>
      <w:r w:rsidR="0093297B" w:rsidRPr="00212D31">
        <w:rPr>
          <w:rFonts w:ascii="Arial" w:eastAsia="Calibri" w:hAnsi="Arial" w:cs="Arial"/>
          <w:sz w:val="24"/>
          <w:szCs w:val="24"/>
          <w:lang w:val="fr-BE"/>
        </w:rPr>
        <w:t>illustrer ce propos par</w:t>
      </w:r>
      <w:r w:rsidRPr="00212D31">
        <w:rPr>
          <w:rFonts w:ascii="Arial" w:eastAsia="Calibri" w:hAnsi="Arial" w:cs="Arial"/>
          <w:sz w:val="24"/>
          <w:szCs w:val="24"/>
          <w:lang w:val="fr-BE"/>
        </w:rPr>
        <w:t xml:space="preserve"> un exemple </w:t>
      </w:r>
      <w:r w:rsidR="0093297B" w:rsidRPr="00212D31">
        <w:rPr>
          <w:rFonts w:ascii="Arial" w:eastAsia="Calibri" w:hAnsi="Arial" w:cs="Arial"/>
          <w:sz w:val="24"/>
          <w:szCs w:val="24"/>
          <w:lang w:val="fr-BE"/>
        </w:rPr>
        <w:t>tiré de la jurisprudence récente</w:t>
      </w:r>
      <w:r w:rsidRPr="00212D31">
        <w:rPr>
          <w:rFonts w:ascii="Arial" w:eastAsia="Calibri" w:hAnsi="Arial" w:cs="Arial"/>
          <w:sz w:val="24"/>
          <w:szCs w:val="24"/>
          <w:lang w:val="fr-BE"/>
        </w:rPr>
        <w:t>. L’année dernière, la Cour a invalidé la directive sur la conservation des données en raison de la violation du principe de proportionnalité</w:t>
      </w:r>
      <w:r w:rsidRPr="00212D31">
        <w:rPr>
          <w:rFonts w:ascii="Arial" w:eastAsia="Calibri" w:hAnsi="Arial" w:cs="Arial"/>
          <w:sz w:val="24"/>
          <w:szCs w:val="24"/>
          <w:vertAlign w:val="superscript"/>
          <w:lang w:val="fr-BE"/>
        </w:rPr>
        <w:footnoteReference w:id="36"/>
      </w:r>
      <w:r w:rsidRPr="00212D31">
        <w:rPr>
          <w:rFonts w:ascii="Arial" w:eastAsia="Calibri" w:hAnsi="Arial" w:cs="Arial"/>
          <w:sz w:val="24"/>
          <w:szCs w:val="24"/>
          <w:lang w:val="fr-BE"/>
        </w:rPr>
        <w:t xml:space="preserve">. Ce faisant, elle a </w:t>
      </w:r>
      <w:r w:rsidR="005670A4" w:rsidRPr="00212D31">
        <w:rPr>
          <w:rFonts w:ascii="Arial" w:eastAsia="Calibri" w:hAnsi="Arial" w:cs="Arial"/>
          <w:sz w:val="24"/>
          <w:szCs w:val="24"/>
          <w:lang w:val="fr-BE"/>
        </w:rPr>
        <w:t>déclench</w:t>
      </w:r>
      <w:r w:rsidRPr="00212D31">
        <w:rPr>
          <w:rFonts w:ascii="Arial" w:eastAsia="Calibri" w:hAnsi="Arial" w:cs="Arial"/>
          <w:sz w:val="24"/>
          <w:szCs w:val="24"/>
          <w:lang w:val="fr-BE"/>
        </w:rPr>
        <w:t>é un débat sur l’avenir de la législation encadrant la conservation des données.</w:t>
      </w:r>
      <w:r w:rsidR="00675467" w:rsidRPr="00212D31">
        <w:rPr>
          <w:rFonts w:ascii="Arial" w:eastAsia="Calibri" w:hAnsi="Arial" w:cs="Arial"/>
          <w:sz w:val="24"/>
          <w:szCs w:val="24"/>
          <w:lang w:val="fr-BE"/>
        </w:rPr>
        <w:t xml:space="preserve"> Deux voies </w:t>
      </w:r>
      <w:r w:rsidR="00755DF5" w:rsidRPr="00212D31">
        <w:rPr>
          <w:rFonts w:ascii="Arial" w:eastAsia="Calibri" w:hAnsi="Arial" w:cs="Arial"/>
          <w:sz w:val="24"/>
          <w:szCs w:val="24"/>
          <w:lang w:val="fr-BE"/>
        </w:rPr>
        <w:t xml:space="preserve">possibles </w:t>
      </w:r>
      <w:r w:rsidR="00675467" w:rsidRPr="00212D31">
        <w:rPr>
          <w:rFonts w:ascii="Arial" w:eastAsia="Calibri" w:hAnsi="Arial" w:cs="Arial"/>
          <w:sz w:val="24"/>
          <w:szCs w:val="24"/>
          <w:lang w:val="fr-BE"/>
        </w:rPr>
        <w:t>se présentent : soit une directive plus conforme aux droits fondamentaux, soit la prise de responsabilité par les Etats membres</w:t>
      </w:r>
      <w:r w:rsidR="005C23A6" w:rsidRPr="00212D31">
        <w:rPr>
          <w:rFonts w:ascii="Arial" w:eastAsia="Calibri" w:hAnsi="Arial" w:cs="Arial"/>
          <w:sz w:val="24"/>
          <w:szCs w:val="24"/>
          <w:lang w:val="fr-BE"/>
        </w:rPr>
        <w:t xml:space="preserve"> eux-mêmes</w:t>
      </w:r>
      <w:r w:rsidR="00675467" w:rsidRPr="00212D31">
        <w:rPr>
          <w:rFonts w:ascii="Arial" w:eastAsia="Calibri" w:hAnsi="Arial" w:cs="Arial"/>
          <w:sz w:val="24"/>
          <w:szCs w:val="24"/>
          <w:lang w:val="fr-BE"/>
        </w:rPr>
        <w:t xml:space="preserve">. </w:t>
      </w:r>
      <w:r w:rsidR="005C23A6" w:rsidRPr="00212D31">
        <w:rPr>
          <w:rFonts w:ascii="Arial" w:eastAsia="Calibri" w:hAnsi="Arial" w:cs="Arial"/>
          <w:sz w:val="24"/>
          <w:szCs w:val="24"/>
          <w:lang w:val="fr-BE"/>
        </w:rPr>
        <w:t>Les terribles attentats de Paris, en début d’année, ont renforcé le souci et le besoin d’une conservation des données efficace et la Cour s’est fait critiquer pour avoir fixé des critères trop exigeants pour la conservation de ces données.</w:t>
      </w:r>
    </w:p>
    <w:p w14:paraId="1C146622" w14:textId="77777777" w:rsidR="00212D31" w:rsidRPr="00212D31" w:rsidRDefault="00212D31" w:rsidP="00212D31">
      <w:pPr>
        <w:spacing w:after="0" w:line="240" w:lineRule="auto"/>
        <w:jc w:val="both"/>
        <w:rPr>
          <w:rFonts w:ascii="Arial" w:eastAsia="Calibri" w:hAnsi="Arial" w:cs="Arial"/>
          <w:sz w:val="24"/>
          <w:szCs w:val="24"/>
          <w:lang w:val="fr-BE"/>
        </w:rPr>
      </w:pPr>
    </w:p>
    <w:p w14:paraId="35A1422D" w14:textId="292AEF85" w:rsidR="005C23A6" w:rsidRDefault="005C23A6" w:rsidP="00212D31">
      <w:pPr>
        <w:spacing w:after="0" w:line="240" w:lineRule="auto"/>
        <w:jc w:val="both"/>
        <w:rPr>
          <w:rFonts w:ascii="Arial" w:eastAsia="Calibri" w:hAnsi="Arial" w:cs="Arial"/>
          <w:sz w:val="24"/>
          <w:szCs w:val="24"/>
          <w:lang w:val="fr-BE"/>
        </w:rPr>
      </w:pPr>
      <w:r w:rsidRPr="00212D31">
        <w:rPr>
          <w:rFonts w:ascii="Arial" w:eastAsia="Calibri" w:hAnsi="Arial" w:cs="Arial"/>
          <w:sz w:val="24"/>
          <w:szCs w:val="24"/>
          <w:lang w:val="fr-BE"/>
        </w:rPr>
        <w:t xml:space="preserve">Aucune institution, aussi importante soit-elle, n’échappe à la critique et il va de soi que nous devons nous y soumettre. </w:t>
      </w:r>
      <w:r w:rsidR="00755DF5" w:rsidRPr="00212D31">
        <w:rPr>
          <w:rFonts w:ascii="Arial" w:eastAsia="Calibri" w:hAnsi="Arial" w:cs="Arial"/>
          <w:sz w:val="24"/>
          <w:szCs w:val="24"/>
          <w:lang w:val="fr-BE"/>
        </w:rPr>
        <w:t>Cependant l</w:t>
      </w:r>
      <w:r w:rsidRPr="00212D31">
        <w:rPr>
          <w:rFonts w:ascii="Arial" w:eastAsia="Calibri" w:hAnsi="Arial" w:cs="Arial"/>
          <w:sz w:val="24"/>
          <w:szCs w:val="24"/>
          <w:lang w:val="fr-BE"/>
        </w:rPr>
        <w:t>a critique ne porte pas ici sur d’éventuel</w:t>
      </w:r>
      <w:r w:rsidR="00755DF5" w:rsidRPr="00212D31">
        <w:rPr>
          <w:rFonts w:ascii="Arial" w:eastAsia="Calibri" w:hAnsi="Arial" w:cs="Arial"/>
          <w:sz w:val="24"/>
          <w:szCs w:val="24"/>
          <w:lang w:val="fr-BE"/>
        </w:rPr>
        <w:t xml:space="preserve">les carences dans la motivation du jugement, mais sur le soi-disant manque de sensibilité de la Cour pour le besoin de sécurité de la population. </w:t>
      </w:r>
      <w:r w:rsidR="00C157A7" w:rsidRPr="00212D31">
        <w:rPr>
          <w:rFonts w:ascii="Arial" w:eastAsia="Calibri" w:hAnsi="Arial" w:cs="Arial"/>
          <w:sz w:val="24"/>
          <w:szCs w:val="24"/>
          <w:lang w:val="fr-BE"/>
        </w:rPr>
        <w:t>La critique porte sur l’absence de mandat démocratique des juges et avocats généraux de la Cour, sur le fait que ces derniers approfondiraient l’intégration européenne sans avoir la légitimation pour ce faire, qu’ils procèderaient à une œuvre de centralisation en inventant des principes juridiques sur la base de traités formulés de manière générale et qu’ils l’imposeraient aux autorités et aux juridictions nationales.</w:t>
      </w:r>
      <w:r w:rsidR="00F21591" w:rsidRPr="00212D31">
        <w:rPr>
          <w:rFonts w:ascii="Arial" w:eastAsia="Calibri" w:hAnsi="Arial" w:cs="Arial"/>
          <w:sz w:val="24"/>
          <w:szCs w:val="24"/>
          <w:lang w:val="fr-BE"/>
        </w:rPr>
        <w:t xml:space="preserve"> Cette critique équivaut à considérer la Cour comme une institution non liée par le droit. Elle a pour cible la </w:t>
      </w:r>
      <w:r w:rsidR="00755DF5" w:rsidRPr="00212D31">
        <w:rPr>
          <w:rFonts w:ascii="Arial" w:eastAsia="Calibri" w:hAnsi="Arial" w:cs="Arial"/>
          <w:sz w:val="24"/>
          <w:szCs w:val="24"/>
          <w:lang w:val="fr-BE"/>
        </w:rPr>
        <w:t xml:space="preserve">façon dont la Cour appréhende le droit et, au bout du compte, le droit en tant que fondement de l’intégration européenne. </w:t>
      </w:r>
    </w:p>
    <w:p w14:paraId="559EE2E5" w14:textId="77777777" w:rsidR="00212D31" w:rsidRPr="00212D31" w:rsidRDefault="00212D31" w:rsidP="00212D31">
      <w:pPr>
        <w:spacing w:after="0" w:line="240" w:lineRule="auto"/>
        <w:jc w:val="both"/>
        <w:rPr>
          <w:rFonts w:ascii="Arial" w:eastAsia="Calibri" w:hAnsi="Arial" w:cs="Arial"/>
          <w:sz w:val="24"/>
          <w:szCs w:val="24"/>
          <w:lang w:val="fr-BE"/>
        </w:rPr>
      </w:pPr>
    </w:p>
    <w:p w14:paraId="6E7F7771" w14:textId="2A798B69" w:rsidR="00F21591" w:rsidRPr="00212D31" w:rsidRDefault="00F21591" w:rsidP="00212D31">
      <w:pPr>
        <w:spacing w:after="0" w:line="240" w:lineRule="auto"/>
        <w:jc w:val="both"/>
        <w:rPr>
          <w:rFonts w:ascii="Arial" w:eastAsia="Calibri" w:hAnsi="Arial" w:cs="Arial"/>
          <w:sz w:val="24"/>
          <w:szCs w:val="24"/>
          <w:lang w:val="fr-BE"/>
        </w:rPr>
      </w:pPr>
      <w:r w:rsidRPr="00212D31">
        <w:rPr>
          <w:rFonts w:ascii="Arial" w:eastAsia="Calibri" w:hAnsi="Arial" w:cs="Arial"/>
          <w:sz w:val="24"/>
          <w:szCs w:val="24"/>
          <w:lang w:val="fr-BE"/>
        </w:rPr>
        <w:t xml:space="preserve">A cette critique, je me dois de répondre que la Cour a pour tâche d’interpréter le droit de l’Union, c’est-à-dire de trouver les règles posées par le législateur de l’Union. Si ces règles sont claires et explicites, le rôle de la Cour est modeste. Si, en revanche, ce qui n’est </w:t>
      </w:r>
      <w:r w:rsidR="005670A4" w:rsidRPr="00212D31">
        <w:rPr>
          <w:rFonts w:ascii="Arial" w:eastAsia="Calibri" w:hAnsi="Arial" w:cs="Arial"/>
          <w:sz w:val="24"/>
          <w:szCs w:val="24"/>
          <w:lang w:val="fr-BE"/>
        </w:rPr>
        <w:t>pas rare, les règles laissent</w:t>
      </w:r>
      <w:r w:rsidRPr="00212D31">
        <w:rPr>
          <w:rFonts w:ascii="Arial" w:eastAsia="Calibri" w:hAnsi="Arial" w:cs="Arial"/>
          <w:sz w:val="24"/>
          <w:szCs w:val="24"/>
          <w:lang w:val="fr-BE"/>
        </w:rPr>
        <w:t xml:space="preserve"> place </w:t>
      </w:r>
      <w:r w:rsidR="00E8424F" w:rsidRPr="00212D31">
        <w:rPr>
          <w:rFonts w:ascii="Arial" w:eastAsia="Calibri" w:hAnsi="Arial" w:cs="Arial"/>
          <w:sz w:val="24"/>
          <w:szCs w:val="24"/>
          <w:lang w:val="fr-BE"/>
        </w:rPr>
        <w:t xml:space="preserve">à l’hésitation, alors il revient à la Cour d’interpréter ces règles de telle manière qu’elles puissent être appliquées de manière sensée. A ceux qui estiment que l’interprétation de la Cour est trop pro-européenne, il convient de rappeler que la législation de l’Union européenne ne peut en tout cas être conçue comme anti-européenne. Enfin, pour ce qui est du manque de légitimité démocratique des membres de la Cour, il me semble que cette critique relève d’une vision quelque peu particulière de la démocratie. Aussi longtemps que l’Union </w:t>
      </w:r>
      <w:r w:rsidR="00E8424F" w:rsidRPr="00212D31">
        <w:rPr>
          <w:rFonts w:ascii="Arial" w:eastAsia="Calibri" w:hAnsi="Arial" w:cs="Arial"/>
          <w:sz w:val="24"/>
          <w:szCs w:val="24"/>
          <w:lang w:val="fr-BE"/>
        </w:rPr>
        <w:lastRenderedPageBreak/>
        <w:t xml:space="preserve">européenne est une communauté de droit soumise à la primauté de ce dernier, </w:t>
      </w:r>
      <w:r w:rsidR="008B0813" w:rsidRPr="00212D31">
        <w:rPr>
          <w:rFonts w:ascii="Arial" w:eastAsia="Calibri" w:hAnsi="Arial" w:cs="Arial"/>
          <w:sz w:val="24"/>
          <w:szCs w:val="24"/>
          <w:lang w:val="fr-BE"/>
        </w:rPr>
        <w:t>il faut que des institutions défendent le droit aussi</w:t>
      </w:r>
      <w:r w:rsidR="008B0813" w:rsidRPr="00212D31">
        <w:rPr>
          <w:rFonts w:ascii="Arial" w:eastAsia="Calibri" w:hAnsi="Arial" w:cs="Arial"/>
          <w:b/>
          <w:i/>
          <w:sz w:val="24"/>
          <w:szCs w:val="24"/>
          <w:lang w:val="fr-BE"/>
        </w:rPr>
        <w:t xml:space="preserve"> </w:t>
      </w:r>
      <w:r w:rsidR="008B0813" w:rsidRPr="00212D31">
        <w:rPr>
          <w:rFonts w:ascii="Arial" w:eastAsia="Calibri" w:hAnsi="Arial" w:cs="Arial"/>
          <w:sz w:val="24"/>
          <w:szCs w:val="24"/>
          <w:lang w:val="fr-BE"/>
        </w:rPr>
        <w:t xml:space="preserve">à l’encontre des majorités – et je dirais même </w:t>
      </w:r>
      <w:r w:rsidR="008B0813" w:rsidRPr="00212D31">
        <w:rPr>
          <w:rFonts w:ascii="Arial" w:eastAsia="Calibri" w:hAnsi="Arial" w:cs="Arial"/>
          <w:b/>
          <w:i/>
          <w:sz w:val="24"/>
          <w:szCs w:val="24"/>
          <w:lang w:val="fr-BE"/>
        </w:rPr>
        <w:t xml:space="preserve">précisément </w:t>
      </w:r>
      <w:r w:rsidR="008B0813" w:rsidRPr="00212D31">
        <w:rPr>
          <w:rFonts w:ascii="Arial" w:eastAsia="Calibri" w:hAnsi="Arial" w:cs="Arial"/>
          <w:sz w:val="24"/>
          <w:szCs w:val="24"/>
          <w:lang w:val="fr-BE"/>
        </w:rPr>
        <w:t>à l’encontre des majorités. Des textes sont votés et des garanties sont créées pour protéger le particulier contre la puissance publique, mais aussi contr</w:t>
      </w:r>
      <w:r w:rsidR="005670A4" w:rsidRPr="00212D31">
        <w:rPr>
          <w:rFonts w:ascii="Arial" w:eastAsia="Calibri" w:hAnsi="Arial" w:cs="Arial"/>
          <w:sz w:val="24"/>
          <w:szCs w:val="24"/>
          <w:lang w:val="fr-BE"/>
        </w:rPr>
        <w:t>e des mesures soutenues ou imposé</w:t>
      </w:r>
      <w:r w:rsidR="008B0813" w:rsidRPr="00212D31">
        <w:rPr>
          <w:rFonts w:ascii="Arial" w:eastAsia="Calibri" w:hAnsi="Arial" w:cs="Arial"/>
          <w:sz w:val="24"/>
          <w:szCs w:val="24"/>
          <w:lang w:val="fr-BE"/>
        </w:rPr>
        <w:t>es par la majorité et qui men</w:t>
      </w:r>
      <w:r w:rsidR="005670A4" w:rsidRPr="00212D31">
        <w:rPr>
          <w:rFonts w:ascii="Arial" w:eastAsia="Calibri" w:hAnsi="Arial" w:cs="Arial"/>
          <w:sz w:val="24"/>
          <w:szCs w:val="24"/>
          <w:lang w:val="fr-BE"/>
        </w:rPr>
        <w:t>aceraient l</w:t>
      </w:r>
      <w:r w:rsidR="008B0813" w:rsidRPr="00212D31">
        <w:rPr>
          <w:rFonts w:ascii="Arial" w:eastAsia="Calibri" w:hAnsi="Arial" w:cs="Arial"/>
          <w:sz w:val="24"/>
          <w:szCs w:val="24"/>
          <w:lang w:val="fr-BE"/>
        </w:rPr>
        <w:t>a liberté</w:t>
      </w:r>
      <w:r w:rsidR="005670A4" w:rsidRPr="00212D31">
        <w:rPr>
          <w:rFonts w:ascii="Arial" w:eastAsia="Calibri" w:hAnsi="Arial" w:cs="Arial"/>
          <w:sz w:val="24"/>
          <w:szCs w:val="24"/>
          <w:lang w:val="fr-BE"/>
        </w:rPr>
        <w:t xml:space="preserve"> individuelle</w:t>
      </w:r>
      <w:r w:rsidR="008B0813" w:rsidRPr="00212D31">
        <w:rPr>
          <w:rFonts w:ascii="Arial" w:eastAsia="Calibri" w:hAnsi="Arial" w:cs="Arial"/>
          <w:sz w:val="24"/>
          <w:szCs w:val="24"/>
          <w:lang w:val="fr-BE"/>
        </w:rPr>
        <w:t>. C’est là que se trouve la quintessence de l’</w:t>
      </w:r>
      <w:r w:rsidR="00C5719F" w:rsidRPr="00212D31">
        <w:rPr>
          <w:rFonts w:ascii="Arial" w:eastAsia="Calibri" w:hAnsi="Arial" w:cs="Arial"/>
          <w:sz w:val="24"/>
          <w:szCs w:val="24"/>
          <w:lang w:val="fr-BE"/>
        </w:rPr>
        <w:t>É</w:t>
      </w:r>
      <w:r w:rsidR="008B0813" w:rsidRPr="00212D31">
        <w:rPr>
          <w:rFonts w:ascii="Arial" w:eastAsia="Calibri" w:hAnsi="Arial" w:cs="Arial"/>
          <w:sz w:val="24"/>
          <w:szCs w:val="24"/>
          <w:lang w:val="fr-BE"/>
        </w:rPr>
        <w:t>tat de droit, une valeur fondamentale de l’Union européenne, q</w:t>
      </w:r>
      <w:r w:rsidR="005670A4" w:rsidRPr="00212D31">
        <w:rPr>
          <w:rFonts w:ascii="Arial" w:eastAsia="Calibri" w:hAnsi="Arial" w:cs="Arial"/>
          <w:sz w:val="24"/>
          <w:szCs w:val="24"/>
          <w:lang w:val="fr-BE"/>
        </w:rPr>
        <w:t>ui mérite</w:t>
      </w:r>
      <w:r w:rsidR="008B0813" w:rsidRPr="00212D31">
        <w:rPr>
          <w:rFonts w:ascii="Arial" w:eastAsia="Calibri" w:hAnsi="Arial" w:cs="Arial"/>
          <w:sz w:val="24"/>
          <w:szCs w:val="24"/>
          <w:lang w:val="fr-BE"/>
        </w:rPr>
        <w:t xml:space="preserve"> d’être protégée.</w:t>
      </w:r>
    </w:p>
    <w:p w14:paraId="5EA46356" w14:textId="7352A051" w:rsidR="005E5159" w:rsidRPr="00212D31" w:rsidRDefault="005E5159" w:rsidP="00212D31">
      <w:pPr>
        <w:spacing w:after="0" w:line="240" w:lineRule="auto"/>
        <w:jc w:val="both"/>
        <w:rPr>
          <w:rFonts w:ascii="Arial" w:hAnsi="Arial" w:cs="Arial"/>
          <w:sz w:val="24"/>
          <w:szCs w:val="24"/>
          <w:lang w:val="fr-BE"/>
        </w:rPr>
      </w:pPr>
    </w:p>
    <w:sectPr w:rsidR="005E5159" w:rsidRPr="00212D31" w:rsidSect="000970AA">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4902C" w14:textId="77777777" w:rsidR="00EE59AA" w:rsidRDefault="00EE59AA" w:rsidP="00C36C34">
      <w:pPr>
        <w:spacing w:after="0" w:line="240" w:lineRule="auto"/>
      </w:pPr>
      <w:r>
        <w:separator/>
      </w:r>
    </w:p>
  </w:endnote>
  <w:endnote w:type="continuationSeparator" w:id="0">
    <w:p w14:paraId="40EB9DC4" w14:textId="77777777" w:rsidR="00EE59AA" w:rsidRDefault="00EE59AA" w:rsidP="00C36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322283"/>
      <w:docPartObj>
        <w:docPartGallery w:val="Page Numbers (Bottom of Page)"/>
        <w:docPartUnique/>
      </w:docPartObj>
    </w:sdtPr>
    <w:sdtEndPr>
      <w:rPr>
        <w:noProof/>
      </w:rPr>
    </w:sdtEndPr>
    <w:sdtContent>
      <w:p w14:paraId="0BB70623" w14:textId="77777777" w:rsidR="00661A55" w:rsidRDefault="00661A55">
        <w:pPr>
          <w:pStyle w:val="Pieddepage"/>
          <w:jc w:val="center"/>
        </w:pPr>
        <w:r>
          <w:fldChar w:fldCharType="begin"/>
        </w:r>
        <w:r>
          <w:instrText xml:space="preserve"> PAGE   \* MERGEFORMAT </w:instrText>
        </w:r>
        <w:r>
          <w:fldChar w:fldCharType="separate"/>
        </w:r>
        <w:r w:rsidR="00AE4401">
          <w:rPr>
            <w:noProof/>
          </w:rPr>
          <w:t>1</w:t>
        </w:r>
        <w:r>
          <w:rPr>
            <w:noProof/>
          </w:rPr>
          <w:fldChar w:fldCharType="end"/>
        </w:r>
      </w:p>
    </w:sdtContent>
  </w:sdt>
  <w:p w14:paraId="07732909" w14:textId="77777777" w:rsidR="00661A55" w:rsidRDefault="00661A5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17C5D" w14:textId="77777777" w:rsidR="00EE59AA" w:rsidRDefault="00EE59AA" w:rsidP="00C36C34">
      <w:pPr>
        <w:spacing w:after="0" w:line="240" w:lineRule="auto"/>
      </w:pPr>
      <w:r>
        <w:separator/>
      </w:r>
    </w:p>
  </w:footnote>
  <w:footnote w:type="continuationSeparator" w:id="0">
    <w:p w14:paraId="21D8903C" w14:textId="77777777" w:rsidR="00EE59AA" w:rsidRDefault="00EE59AA" w:rsidP="00C36C34">
      <w:pPr>
        <w:spacing w:after="0" w:line="240" w:lineRule="auto"/>
      </w:pPr>
      <w:r>
        <w:continuationSeparator/>
      </w:r>
    </w:p>
  </w:footnote>
  <w:footnote w:id="1">
    <w:p w14:paraId="7D980EA5" w14:textId="60C18728"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rPr>
        <w:footnoteRef/>
      </w:r>
      <w:r w:rsidRPr="00D8699A">
        <w:rPr>
          <w:rFonts w:ascii="Times New Roman" w:hAnsi="Times New Roman" w:cs="Times New Roman"/>
          <w:lang w:val="fr-BE"/>
        </w:rPr>
        <w:t xml:space="preserve"> Traité sur l’Union européenne, Préambule </w:t>
      </w:r>
      <w:r>
        <w:rPr>
          <w:rFonts w:ascii="Times New Roman" w:hAnsi="Times New Roman" w:cs="Times New Roman"/>
          <w:lang w:val="fr-BE"/>
        </w:rPr>
        <w:t>considérants</w:t>
      </w:r>
      <w:r w:rsidRPr="00D8699A">
        <w:rPr>
          <w:rFonts w:ascii="Times New Roman" w:hAnsi="Times New Roman" w:cs="Times New Roman"/>
          <w:lang w:val="fr-BE"/>
        </w:rPr>
        <w:t xml:space="preserve"> 2 et 4. </w:t>
      </w:r>
    </w:p>
  </w:footnote>
  <w:footnote w:id="2">
    <w:p w14:paraId="46231C7C" w14:textId="77777777"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lang w:val="fr-BE"/>
        </w:rPr>
        <w:footnoteRef/>
      </w:r>
      <w:r w:rsidRPr="00D8699A">
        <w:rPr>
          <w:rFonts w:ascii="Times New Roman" w:hAnsi="Times New Roman" w:cs="Times New Roman"/>
          <w:lang w:val="fr-BE"/>
        </w:rPr>
        <w:t xml:space="preserve"> Le Préambule de la Charte des droits fondamentaux de l’Union européenne dispose que:</w:t>
      </w:r>
    </w:p>
    <w:p w14:paraId="4C089365" w14:textId="77777777" w:rsidR="00661A55" w:rsidRPr="00D8699A" w:rsidRDefault="00661A55" w:rsidP="00D8699A">
      <w:pPr>
        <w:pStyle w:val="Notedebasdepage"/>
        <w:jc w:val="both"/>
        <w:rPr>
          <w:rFonts w:ascii="Times New Roman" w:hAnsi="Times New Roman" w:cs="Times New Roman"/>
          <w:lang w:val="fr-BE"/>
        </w:rPr>
      </w:pPr>
      <w:r w:rsidRPr="00D8699A">
        <w:rPr>
          <w:rFonts w:ascii="Times New Roman" w:hAnsi="Times New Roman" w:cs="Times New Roman"/>
          <w:lang w:val="fr-BE"/>
        </w:rPr>
        <w:t>(…)</w:t>
      </w:r>
    </w:p>
    <w:p w14:paraId="000B5513" w14:textId="2D5D21C0" w:rsidR="00661A55" w:rsidRPr="00D8699A" w:rsidRDefault="00661A55">
      <w:pPr>
        <w:pStyle w:val="Notedebasdepage"/>
        <w:jc w:val="both"/>
        <w:rPr>
          <w:rFonts w:ascii="Times New Roman" w:hAnsi="Times New Roman" w:cs="Times New Roman"/>
          <w:lang w:val="fr-BE"/>
        </w:rPr>
      </w:pPr>
      <w:r w:rsidRPr="00D8699A">
        <w:rPr>
          <w:rFonts w:ascii="Times New Roman" w:hAnsi="Times New Roman" w:cs="Times New Roman"/>
          <w:lang w:val="fr-BE"/>
        </w:rPr>
        <w:t>„</w:t>
      </w:r>
      <w:r w:rsidRPr="00D8699A">
        <w:rPr>
          <w:rFonts w:ascii="Times New Roman" w:hAnsi="Times New Roman" w:cs="Times New Roman"/>
          <w:i/>
          <w:lang w:val="fr-BE"/>
        </w:rPr>
        <w:t xml:space="preserve">Consciente de son patrimoine spirituel et moral, l’Union se fonde sur les valeurs indivisibles et universelles de dignité humaine, de liberté, d’égalité et de solidarité; elle repose sur le principe de la démocratie et le principe de l’Etat de droit. Elle place la personne au </w:t>
      </w:r>
      <w:r w:rsidRPr="00412944">
        <w:rPr>
          <w:rFonts w:ascii="Times New Roman" w:hAnsi="Times New Roman" w:cs="Times New Roman"/>
          <w:i/>
          <w:lang w:val="fr-BE"/>
        </w:rPr>
        <w:t>cœur</w:t>
      </w:r>
      <w:r w:rsidRPr="00D8699A">
        <w:rPr>
          <w:rFonts w:ascii="Times New Roman" w:hAnsi="Times New Roman" w:cs="Times New Roman"/>
          <w:i/>
          <w:lang w:val="fr-BE"/>
        </w:rPr>
        <w:t xml:space="preserve"> de son action en </w:t>
      </w:r>
      <w:r w:rsidRPr="00412944">
        <w:rPr>
          <w:rFonts w:ascii="Times New Roman" w:hAnsi="Times New Roman" w:cs="Times New Roman"/>
          <w:i/>
          <w:lang w:val="fr-BE"/>
        </w:rPr>
        <w:t>instituant</w:t>
      </w:r>
      <w:r w:rsidRPr="00D8699A">
        <w:rPr>
          <w:rFonts w:ascii="Times New Roman" w:hAnsi="Times New Roman" w:cs="Times New Roman"/>
          <w:i/>
          <w:lang w:val="fr-BE"/>
        </w:rPr>
        <w:t xml:space="preserve"> la citoyenneté de l’Union et en créant un espace de liberté, de sécurité et de justice</w:t>
      </w:r>
      <w:r w:rsidRPr="00D8699A">
        <w:rPr>
          <w:rFonts w:ascii="Times New Roman" w:hAnsi="Times New Roman" w:cs="Times New Roman"/>
          <w:lang w:val="fr-BE"/>
        </w:rPr>
        <w:t xml:space="preserve">“. </w:t>
      </w:r>
      <w:r>
        <w:rPr>
          <w:rFonts w:ascii="Times New Roman" w:hAnsi="Times New Roman" w:cs="Times New Roman"/>
          <w:lang w:val="fr-BE"/>
        </w:rPr>
        <w:t xml:space="preserve">Pour plus d’informations voir Jean-Marc Sauvé, « La Charte des droits fondamentaux de l’Union européenne : mode d’emploi », 24 novembre 2014,  disponible à l’adresse </w:t>
      </w:r>
      <w:hyperlink r:id="rId1" w:history="1">
        <w:r w:rsidRPr="001E4C1D">
          <w:rPr>
            <w:rStyle w:val="Lienhypertexte"/>
            <w:rFonts w:ascii="Times New Roman" w:hAnsi="Times New Roman" w:cs="Times New Roman"/>
            <w:lang w:val="fr-BE"/>
          </w:rPr>
          <w:t>http://www.conseil-etat.fr/Actualites/Discours-Interventions/La-Charte-des-droits-fondamentaux-de-l-Union-europeenne-mode-d-emploi</w:t>
        </w:r>
      </w:hyperlink>
      <w:r w:rsidRPr="00D8699A">
        <w:rPr>
          <w:rFonts w:ascii="Times New Roman" w:hAnsi="Times New Roman" w:cs="Times New Roman"/>
          <w:lang w:val="fr-BE"/>
        </w:rPr>
        <w:t>.</w:t>
      </w:r>
      <w:r>
        <w:rPr>
          <w:rFonts w:ascii="Times New Roman" w:hAnsi="Times New Roman" w:cs="Times New Roman"/>
          <w:lang w:val="fr-BE"/>
        </w:rPr>
        <w:t xml:space="preserve"> </w:t>
      </w:r>
    </w:p>
  </w:footnote>
  <w:footnote w:id="3">
    <w:p w14:paraId="1A59F088" w14:textId="1DB4D1E3"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rPr>
        <w:footnoteRef/>
      </w:r>
      <w:r w:rsidRPr="00D8699A">
        <w:rPr>
          <w:rFonts w:ascii="Times New Roman" w:hAnsi="Times New Roman" w:cs="Times New Roman"/>
          <w:lang w:val="fr-BE"/>
        </w:rPr>
        <w:t xml:space="preserve"> </w:t>
      </w:r>
      <w:r>
        <w:rPr>
          <w:rFonts w:ascii="Times New Roman" w:hAnsi="Times New Roman" w:cs="Times New Roman"/>
          <w:lang w:val="fr-BE"/>
        </w:rPr>
        <w:t xml:space="preserve">L. </w:t>
      </w:r>
      <w:proofErr w:type="spellStart"/>
      <w:r w:rsidRPr="00D8699A">
        <w:rPr>
          <w:rFonts w:ascii="Times New Roman" w:hAnsi="Times New Roman" w:cs="Times New Roman"/>
          <w:lang w:val="fr-BE"/>
        </w:rPr>
        <w:t>Heuschling</w:t>
      </w:r>
      <w:proofErr w:type="spellEnd"/>
      <w:r>
        <w:rPr>
          <w:rFonts w:ascii="Times New Roman" w:hAnsi="Times New Roman" w:cs="Times New Roman"/>
          <w:lang w:val="fr-BE"/>
        </w:rPr>
        <w:t>,</w:t>
      </w:r>
      <w:r w:rsidRPr="00D8699A">
        <w:rPr>
          <w:rFonts w:ascii="Times New Roman" w:hAnsi="Times New Roman" w:cs="Times New Roman"/>
          <w:lang w:val="fr-BE"/>
        </w:rPr>
        <w:t xml:space="preserve"> « </w:t>
      </w:r>
      <w:r w:rsidRPr="00D8699A">
        <w:rPr>
          <w:rFonts w:ascii="Times New Roman" w:hAnsi="Times New Roman" w:cs="Times New Roman"/>
          <w:i/>
          <w:lang w:val="fr-BE"/>
        </w:rPr>
        <w:t>L’État de droit</w:t>
      </w:r>
      <w:r w:rsidRPr="00D8699A">
        <w:rPr>
          <w:rFonts w:ascii="Times New Roman" w:hAnsi="Times New Roman" w:cs="Times New Roman"/>
          <w:lang w:val="fr-BE"/>
        </w:rPr>
        <w:t> », « L’influence du droit européen sur les catégories juridiques du droit public », Dalloz, 2010, p. 550.</w:t>
      </w:r>
    </w:p>
  </w:footnote>
  <w:footnote w:id="4">
    <w:p w14:paraId="0EA345C3" w14:textId="68E49FA9" w:rsidR="00661A55" w:rsidRPr="00D8699A" w:rsidRDefault="00661A55">
      <w:pPr>
        <w:pStyle w:val="Notedebasdepage"/>
        <w:jc w:val="both"/>
        <w:rPr>
          <w:rFonts w:ascii="Times New Roman" w:hAnsi="Times New Roman" w:cs="Times New Roman"/>
          <w:lang w:val="fr-BE"/>
        </w:rPr>
      </w:pPr>
      <w:r w:rsidRPr="00D8699A">
        <w:rPr>
          <w:rStyle w:val="Appelnotedebasdep"/>
          <w:rFonts w:ascii="Times New Roman" w:hAnsi="Times New Roman" w:cs="Times New Roman"/>
          <w:lang w:val="fr-BE"/>
        </w:rPr>
        <w:footnoteRef/>
      </w:r>
      <w:r w:rsidRPr="00D8699A">
        <w:rPr>
          <w:rFonts w:ascii="Times New Roman" w:hAnsi="Times New Roman" w:cs="Times New Roman"/>
          <w:lang w:val="fr-BE"/>
        </w:rPr>
        <w:t xml:space="preserve"> V. </w:t>
      </w:r>
      <w:proofErr w:type="spellStart"/>
      <w:r w:rsidRPr="00D8699A">
        <w:rPr>
          <w:rFonts w:ascii="Times New Roman" w:hAnsi="Times New Roman" w:cs="Times New Roman"/>
          <w:lang w:val="fr-BE"/>
        </w:rPr>
        <w:t>Skouris</w:t>
      </w:r>
      <w:proofErr w:type="spellEnd"/>
      <w:r w:rsidRPr="00D8699A">
        <w:rPr>
          <w:rFonts w:ascii="Times New Roman" w:hAnsi="Times New Roman" w:cs="Times New Roman"/>
          <w:lang w:val="fr-BE"/>
        </w:rPr>
        <w:t xml:space="preserve">, </w:t>
      </w:r>
      <w:proofErr w:type="spellStart"/>
      <w:r w:rsidRPr="00D8699A">
        <w:rPr>
          <w:rFonts w:ascii="Times New Roman" w:hAnsi="Times New Roman" w:cs="Times New Roman"/>
          <w:lang w:val="fr-BE"/>
        </w:rPr>
        <w:t>Aspekte</w:t>
      </w:r>
      <w:proofErr w:type="spellEnd"/>
      <w:r w:rsidRPr="00D8699A">
        <w:rPr>
          <w:rFonts w:ascii="Times New Roman" w:hAnsi="Times New Roman" w:cs="Times New Roman"/>
          <w:lang w:val="fr-BE"/>
        </w:rPr>
        <w:t xml:space="preserve"> des </w:t>
      </w:r>
      <w:proofErr w:type="spellStart"/>
      <w:r w:rsidRPr="00D8699A">
        <w:rPr>
          <w:rFonts w:ascii="Times New Roman" w:hAnsi="Times New Roman" w:cs="Times New Roman"/>
          <w:lang w:val="fr-BE"/>
        </w:rPr>
        <w:t>Grundrechtsschutzes</w:t>
      </w:r>
      <w:proofErr w:type="spellEnd"/>
      <w:r w:rsidRPr="00D8699A">
        <w:rPr>
          <w:rFonts w:ascii="Times New Roman" w:hAnsi="Times New Roman" w:cs="Times New Roman"/>
          <w:lang w:val="fr-BE"/>
        </w:rPr>
        <w:t xml:space="preserve">  in der </w:t>
      </w:r>
      <w:proofErr w:type="spellStart"/>
      <w:r w:rsidRPr="00D8699A">
        <w:rPr>
          <w:rFonts w:ascii="Times New Roman" w:hAnsi="Times New Roman" w:cs="Times New Roman"/>
          <w:lang w:val="fr-BE"/>
        </w:rPr>
        <w:t>Europäischen</w:t>
      </w:r>
      <w:proofErr w:type="spellEnd"/>
      <w:r w:rsidRPr="00D8699A">
        <w:rPr>
          <w:rFonts w:ascii="Times New Roman" w:hAnsi="Times New Roman" w:cs="Times New Roman"/>
          <w:lang w:val="fr-BE"/>
        </w:rPr>
        <w:t xml:space="preserve"> Union </w:t>
      </w:r>
      <w:proofErr w:type="spellStart"/>
      <w:r w:rsidRPr="00D8699A">
        <w:rPr>
          <w:rFonts w:ascii="Times New Roman" w:hAnsi="Times New Roman" w:cs="Times New Roman"/>
          <w:lang w:val="fr-BE"/>
        </w:rPr>
        <w:t>nach</w:t>
      </w:r>
      <w:proofErr w:type="spellEnd"/>
      <w:r w:rsidRPr="00D8699A">
        <w:rPr>
          <w:rFonts w:ascii="Times New Roman" w:hAnsi="Times New Roman" w:cs="Times New Roman"/>
          <w:lang w:val="fr-BE"/>
        </w:rPr>
        <w:t xml:space="preserve"> </w:t>
      </w:r>
      <w:proofErr w:type="spellStart"/>
      <w:r w:rsidRPr="00D8699A">
        <w:rPr>
          <w:rFonts w:ascii="Times New Roman" w:hAnsi="Times New Roman" w:cs="Times New Roman"/>
          <w:lang w:val="fr-BE"/>
        </w:rPr>
        <w:t>Lissabon</w:t>
      </w:r>
      <w:proofErr w:type="spellEnd"/>
      <w:r w:rsidRPr="00D8699A">
        <w:rPr>
          <w:rFonts w:ascii="Times New Roman" w:hAnsi="Times New Roman" w:cs="Times New Roman"/>
          <w:lang w:val="fr-BE"/>
        </w:rPr>
        <w:t xml:space="preserve">, in: </w:t>
      </w:r>
      <w:proofErr w:type="spellStart"/>
      <w:r w:rsidRPr="00D8699A">
        <w:rPr>
          <w:rFonts w:ascii="Times New Roman" w:hAnsi="Times New Roman" w:cs="Times New Roman"/>
          <w:lang w:val="fr-BE"/>
        </w:rPr>
        <w:t>Vom</w:t>
      </w:r>
      <w:proofErr w:type="spellEnd"/>
      <w:r w:rsidRPr="00D8699A">
        <w:rPr>
          <w:rFonts w:ascii="Times New Roman" w:hAnsi="Times New Roman" w:cs="Times New Roman"/>
          <w:lang w:val="fr-BE"/>
        </w:rPr>
        <w:t xml:space="preserve"> </w:t>
      </w:r>
      <w:proofErr w:type="spellStart"/>
      <w:r w:rsidRPr="00D8699A">
        <w:rPr>
          <w:rFonts w:ascii="Times New Roman" w:hAnsi="Times New Roman" w:cs="Times New Roman"/>
          <w:lang w:val="fr-BE"/>
        </w:rPr>
        <w:t>Recht</w:t>
      </w:r>
      <w:proofErr w:type="spellEnd"/>
      <w:r w:rsidRPr="00D8699A">
        <w:rPr>
          <w:rFonts w:ascii="Times New Roman" w:hAnsi="Times New Roman" w:cs="Times New Roman"/>
          <w:lang w:val="fr-BE"/>
        </w:rPr>
        <w:t xml:space="preserve"> </w:t>
      </w:r>
      <w:proofErr w:type="spellStart"/>
      <w:r w:rsidRPr="00D8699A">
        <w:rPr>
          <w:rFonts w:ascii="Times New Roman" w:hAnsi="Times New Roman" w:cs="Times New Roman"/>
          <w:lang w:val="fr-BE"/>
        </w:rPr>
        <w:t>auf</w:t>
      </w:r>
      <w:proofErr w:type="spellEnd"/>
      <w:r w:rsidRPr="00D8699A">
        <w:rPr>
          <w:rFonts w:ascii="Times New Roman" w:hAnsi="Times New Roman" w:cs="Times New Roman"/>
          <w:lang w:val="fr-BE"/>
        </w:rPr>
        <w:t xml:space="preserve"> </w:t>
      </w:r>
      <w:proofErr w:type="spellStart"/>
      <w:r w:rsidRPr="00D8699A">
        <w:rPr>
          <w:rFonts w:ascii="Times New Roman" w:hAnsi="Times New Roman" w:cs="Times New Roman"/>
          <w:lang w:val="fr-BE"/>
        </w:rPr>
        <w:t>Menschenwürde</w:t>
      </w:r>
      <w:proofErr w:type="spellEnd"/>
      <w:r w:rsidRPr="00D8699A">
        <w:rPr>
          <w:rFonts w:ascii="Times New Roman" w:hAnsi="Times New Roman" w:cs="Times New Roman"/>
          <w:lang w:val="fr-BE"/>
        </w:rPr>
        <w:t xml:space="preserve">. 60 </w:t>
      </w:r>
      <w:proofErr w:type="spellStart"/>
      <w:r w:rsidRPr="00D8699A">
        <w:rPr>
          <w:rFonts w:ascii="Times New Roman" w:hAnsi="Times New Roman" w:cs="Times New Roman"/>
          <w:lang w:val="fr-BE"/>
        </w:rPr>
        <w:t>Jahre</w:t>
      </w:r>
      <w:proofErr w:type="spellEnd"/>
      <w:r w:rsidRPr="00D8699A">
        <w:rPr>
          <w:rFonts w:ascii="Times New Roman" w:hAnsi="Times New Roman" w:cs="Times New Roman"/>
          <w:lang w:val="fr-BE"/>
        </w:rPr>
        <w:t xml:space="preserve"> </w:t>
      </w:r>
      <w:proofErr w:type="spellStart"/>
      <w:r w:rsidRPr="00D8699A">
        <w:rPr>
          <w:rFonts w:ascii="Times New Roman" w:hAnsi="Times New Roman" w:cs="Times New Roman"/>
          <w:lang w:val="fr-BE"/>
        </w:rPr>
        <w:t>Europäische</w:t>
      </w:r>
      <w:proofErr w:type="spellEnd"/>
      <w:r w:rsidRPr="00D8699A">
        <w:rPr>
          <w:rFonts w:ascii="Times New Roman" w:hAnsi="Times New Roman" w:cs="Times New Roman"/>
          <w:lang w:val="fr-BE"/>
        </w:rPr>
        <w:t xml:space="preserve"> </w:t>
      </w:r>
      <w:proofErr w:type="spellStart"/>
      <w:r w:rsidRPr="00D8699A">
        <w:rPr>
          <w:rFonts w:ascii="Times New Roman" w:hAnsi="Times New Roman" w:cs="Times New Roman"/>
          <w:lang w:val="fr-BE"/>
        </w:rPr>
        <w:t>Menschenrechtskonvention</w:t>
      </w:r>
      <w:proofErr w:type="spellEnd"/>
      <w:r w:rsidRPr="00D8699A">
        <w:rPr>
          <w:rFonts w:ascii="Times New Roman" w:hAnsi="Times New Roman" w:cs="Times New Roman"/>
          <w:lang w:val="fr-BE"/>
        </w:rPr>
        <w:t xml:space="preserve">, </w:t>
      </w:r>
      <w:proofErr w:type="spellStart"/>
      <w:r w:rsidRPr="00D8699A">
        <w:rPr>
          <w:rFonts w:ascii="Times New Roman" w:hAnsi="Times New Roman" w:cs="Times New Roman"/>
          <w:lang w:val="fr-BE"/>
        </w:rPr>
        <w:t>hrsg</w:t>
      </w:r>
      <w:proofErr w:type="spellEnd"/>
      <w:r w:rsidRPr="00D8699A">
        <w:rPr>
          <w:rFonts w:ascii="Times New Roman" w:hAnsi="Times New Roman" w:cs="Times New Roman"/>
          <w:lang w:val="fr-BE"/>
        </w:rPr>
        <w:t xml:space="preserve">. Von S. </w:t>
      </w:r>
      <w:proofErr w:type="spellStart"/>
      <w:r w:rsidRPr="00D8699A">
        <w:rPr>
          <w:rFonts w:ascii="Times New Roman" w:hAnsi="Times New Roman" w:cs="Times New Roman"/>
          <w:lang w:val="fr-BE"/>
        </w:rPr>
        <w:t>Leutheusser-Schnarrenberger</w:t>
      </w:r>
      <w:proofErr w:type="spellEnd"/>
      <w:r w:rsidRPr="00D8699A">
        <w:rPr>
          <w:rFonts w:ascii="Times New Roman" w:hAnsi="Times New Roman" w:cs="Times New Roman"/>
          <w:lang w:val="fr-BE"/>
        </w:rPr>
        <w:t xml:space="preserve">, Tübingen 2013, S. 83 (84 </w:t>
      </w:r>
      <w:proofErr w:type="spellStart"/>
      <w:r w:rsidRPr="00D8699A">
        <w:rPr>
          <w:rFonts w:ascii="Times New Roman" w:hAnsi="Times New Roman" w:cs="Times New Roman"/>
          <w:lang w:val="fr-BE"/>
        </w:rPr>
        <w:t>ff</w:t>
      </w:r>
      <w:proofErr w:type="spellEnd"/>
      <w:r w:rsidRPr="00D8699A">
        <w:rPr>
          <w:rFonts w:ascii="Times New Roman" w:hAnsi="Times New Roman" w:cs="Times New Roman"/>
          <w:lang w:val="fr-BE"/>
        </w:rPr>
        <w:t>.).</w:t>
      </w:r>
    </w:p>
  </w:footnote>
  <w:footnote w:id="5">
    <w:p w14:paraId="28B803C3" w14:textId="28A81ADD"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lang w:val="fr-BE"/>
        </w:rPr>
        <w:footnoteRef/>
      </w:r>
      <w:r>
        <w:rPr>
          <w:rFonts w:ascii="Times New Roman" w:hAnsi="Times New Roman" w:cs="Times New Roman"/>
          <w:i/>
          <w:lang w:val="fr-BE"/>
        </w:rPr>
        <w:t xml:space="preserve"> </w:t>
      </w:r>
      <w:r>
        <w:rPr>
          <w:rFonts w:ascii="Times New Roman" w:hAnsi="Times New Roman" w:cs="Times New Roman"/>
          <w:lang w:val="fr-BE"/>
        </w:rPr>
        <w:t xml:space="preserve">J-C </w:t>
      </w:r>
      <w:proofErr w:type="spellStart"/>
      <w:r>
        <w:rPr>
          <w:rFonts w:ascii="Times New Roman" w:hAnsi="Times New Roman" w:cs="Times New Roman"/>
          <w:lang w:val="fr-BE"/>
        </w:rPr>
        <w:t>Barbato</w:t>
      </w:r>
      <w:proofErr w:type="spellEnd"/>
      <w:r>
        <w:rPr>
          <w:rFonts w:ascii="Times New Roman" w:hAnsi="Times New Roman" w:cs="Times New Roman"/>
          <w:lang w:val="fr-BE"/>
        </w:rPr>
        <w:t>, « </w:t>
      </w:r>
      <w:r w:rsidRPr="00D8699A">
        <w:rPr>
          <w:rFonts w:ascii="Times New Roman" w:hAnsi="Times New Roman" w:cs="Times New Roman"/>
          <w:i/>
          <w:lang w:val="fr-BE"/>
        </w:rPr>
        <w:t>Les garanties du respect des valeurs par les Etats Membres</w:t>
      </w:r>
      <w:r>
        <w:rPr>
          <w:rFonts w:ascii="Times New Roman" w:hAnsi="Times New Roman" w:cs="Times New Roman"/>
          <w:lang w:val="fr-BE"/>
        </w:rPr>
        <w:t xml:space="preserve"> », « Les valeurs Communes dans l’Union européenne, </w:t>
      </w:r>
      <w:proofErr w:type="spellStart"/>
      <w:r>
        <w:rPr>
          <w:rFonts w:ascii="Times New Roman" w:hAnsi="Times New Roman" w:cs="Times New Roman"/>
          <w:lang w:val="fr-BE"/>
        </w:rPr>
        <w:t>Bruylant</w:t>
      </w:r>
      <w:proofErr w:type="spellEnd"/>
      <w:r>
        <w:rPr>
          <w:rFonts w:ascii="Times New Roman" w:hAnsi="Times New Roman" w:cs="Times New Roman"/>
          <w:lang w:val="fr-BE"/>
        </w:rPr>
        <w:t xml:space="preserve">, 2014, pp. 88, 89. </w:t>
      </w:r>
    </w:p>
  </w:footnote>
  <w:footnote w:id="6">
    <w:p w14:paraId="367512FA" w14:textId="010650A5" w:rsidR="00661A55" w:rsidRPr="00D8699A" w:rsidRDefault="00661A55">
      <w:pPr>
        <w:pStyle w:val="Notedebasdepage"/>
        <w:jc w:val="both"/>
        <w:rPr>
          <w:rFonts w:ascii="Times New Roman" w:hAnsi="Times New Roman" w:cs="Times New Roman"/>
          <w:lang w:val="fr-BE"/>
        </w:rPr>
      </w:pPr>
      <w:r w:rsidRPr="00D8699A">
        <w:rPr>
          <w:rStyle w:val="Appelnotedebasdep"/>
          <w:rFonts w:ascii="Times New Roman" w:hAnsi="Times New Roman" w:cs="Times New Roman"/>
          <w:lang w:val="fr-BE"/>
        </w:rPr>
        <w:footnoteRef/>
      </w:r>
      <w:r w:rsidRPr="00D8699A">
        <w:rPr>
          <w:rFonts w:ascii="Times New Roman" w:hAnsi="Times New Roman" w:cs="Times New Roman"/>
          <w:lang w:val="fr-BE"/>
        </w:rPr>
        <w:t xml:space="preserve"> </w:t>
      </w:r>
      <w:r>
        <w:rPr>
          <w:rFonts w:ascii="Times New Roman" w:hAnsi="Times New Roman" w:cs="Times New Roman"/>
          <w:lang w:val="fr-BE"/>
        </w:rPr>
        <w:t>Voir l’étude faite par la Fondation Robert Schuman,</w:t>
      </w:r>
      <w:r w:rsidRPr="00D8699A">
        <w:rPr>
          <w:lang w:val="fr-BE"/>
        </w:rPr>
        <w:t xml:space="preserve"> </w:t>
      </w:r>
      <w:hyperlink r:id="rId2" w:history="1">
        <w:r w:rsidRPr="001E4C1D">
          <w:rPr>
            <w:rStyle w:val="Lienhypertexte"/>
            <w:rFonts w:ascii="Times New Roman" w:hAnsi="Times New Roman" w:cs="Times New Roman"/>
            <w:lang w:val="fr-BE"/>
          </w:rPr>
          <w:t>http://www.robert-schuman.eu/fr/questions-d-europe/0049-apres-l-adhesion-de-la-bulgarie-et-la-roumanie-en-finir-avec-l-opposition-entre-elargissement</w:t>
        </w:r>
      </w:hyperlink>
      <w:r>
        <w:rPr>
          <w:rFonts w:ascii="Times New Roman" w:hAnsi="Times New Roman" w:cs="Times New Roman"/>
          <w:lang w:val="fr-BE"/>
        </w:rPr>
        <w:t xml:space="preserve">. </w:t>
      </w:r>
    </w:p>
  </w:footnote>
  <w:footnote w:id="7">
    <w:p w14:paraId="7C59A5DE" w14:textId="0E57637F" w:rsidR="00661A55" w:rsidRPr="00D8699A" w:rsidRDefault="00661A55">
      <w:pPr>
        <w:pStyle w:val="Notedebasdepage"/>
        <w:rPr>
          <w:rFonts w:ascii="Times New Roman" w:hAnsi="Times New Roman" w:cs="Times New Roman"/>
          <w:lang w:val="fr-BE"/>
        </w:rPr>
      </w:pPr>
      <w:r w:rsidRPr="00D8699A">
        <w:rPr>
          <w:rStyle w:val="Appelnotedebasdep"/>
          <w:rFonts w:ascii="Times New Roman" w:hAnsi="Times New Roman" w:cs="Times New Roman"/>
        </w:rPr>
        <w:footnoteRef/>
      </w:r>
      <w:r w:rsidRPr="00D8699A">
        <w:rPr>
          <w:rFonts w:ascii="Times New Roman" w:hAnsi="Times New Roman" w:cs="Times New Roman"/>
          <w:lang w:val="fr-BE"/>
        </w:rPr>
        <w:t xml:space="preserve"> Politique étrangère et de sécurité commune.</w:t>
      </w:r>
    </w:p>
  </w:footnote>
  <w:footnote w:id="8">
    <w:p w14:paraId="58AC52FB" w14:textId="5BB8B772" w:rsidR="00661A55" w:rsidRPr="00D8699A" w:rsidRDefault="00661A55">
      <w:pPr>
        <w:pStyle w:val="Notedebasdepage"/>
        <w:rPr>
          <w:rFonts w:ascii="Times New Roman" w:hAnsi="Times New Roman" w:cs="Times New Roman"/>
          <w:lang w:val="fr-BE"/>
        </w:rPr>
      </w:pPr>
      <w:r w:rsidRPr="00D8699A">
        <w:rPr>
          <w:rStyle w:val="Appelnotedebasdep"/>
          <w:rFonts w:ascii="Times New Roman" w:hAnsi="Times New Roman" w:cs="Times New Roman"/>
        </w:rPr>
        <w:footnoteRef/>
      </w:r>
      <w:r w:rsidRPr="00D8699A">
        <w:rPr>
          <w:rFonts w:ascii="Times New Roman" w:hAnsi="Times New Roman" w:cs="Times New Roman"/>
          <w:lang w:val="fr-BE"/>
        </w:rPr>
        <w:t xml:space="preserve"> Premier paragraphe de l’article 11 du traité sur l’Union européenne. </w:t>
      </w:r>
    </w:p>
  </w:footnote>
  <w:footnote w:id="9">
    <w:p w14:paraId="13388C73" w14:textId="6EAD39B0"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rPr>
        <w:footnoteRef/>
      </w:r>
      <w:r>
        <w:rPr>
          <w:rFonts w:ascii="Times New Roman" w:hAnsi="Times New Roman" w:cs="Times New Roman"/>
          <w:lang w:val="fr-BE"/>
        </w:rPr>
        <w:t xml:space="preserve"> M-L Basilien-Gainche</w:t>
      </w:r>
      <w:r w:rsidRPr="00D8699A">
        <w:rPr>
          <w:rFonts w:ascii="Times New Roman" w:hAnsi="Times New Roman" w:cs="Times New Roman"/>
          <w:lang w:val="fr-BE"/>
        </w:rPr>
        <w:t>, « </w:t>
      </w:r>
      <w:r w:rsidRPr="00D8699A">
        <w:rPr>
          <w:rFonts w:ascii="Times New Roman" w:hAnsi="Times New Roman" w:cs="Times New Roman"/>
          <w:i/>
          <w:lang w:val="fr-BE"/>
        </w:rPr>
        <w:t>La vertu constituante de l’Union européenne et la promotion, des principes de l’état de droit</w:t>
      </w:r>
      <w:r w:rsidRPr="00D8699A">
        <w:rPr>
          <w:rFonts w:ascii="Times New Roman" w:hAnsi="Times New Roman" w:cs="Times New Roman"/>
          <w:lang w:val="fr-BE"/>
        </w:rPr>
        <w:t xml:space="preserve"> », p. 44. </w:t>
      </w:r>
    </w:p>
  </w:footnote>
  <w:footnote w:id="10">
    <w:p w14:paraId="4B22B9CA" w14:textId="49C3F334" w:rsidR="00661A55" w:rsidRPr="005670A4" w:rsidRDefault="00661A55">
      <w:pPr>
        <w:pStyle w:val="Notedebasdepage"/>
        <w:rPr>
          <w:rFonts w:ascii="Times New Roman" w:hAnsi="Times New Roman" w:cs="Times New Roman"/>
          <w:lang w:val="fr-BE"/>
        </w:rPr>
      </w:pPr>
      <w:r w:rsidRPr="005670A4">
        <w:rPr>
          <w:rStyle w:val="Appelnotedebasdep"/>
          <w:rFonts w:ascii="Times New Roman" w:hAnsi="Times New Roman" w:cs="Times New Roman"/>
        </w:rPr>
        <w:footnoteRef/>
      </w:r>
      <w:r w:rsidRPr="005670A4">
        <w:rPr>
          <w:rFonts w:ascii="Times New Roman" w:hAnsi="Times New Roman" w:cs="Times New Roman"/>
          <w:lang w:val="fr-BE"/>
        </w:rPr>
        <w:t xml:space="preserve"> Terme mentionné pour la première fois dans l’arrêt </w:t>
      </w:r>
      <w:hyperlink r:id="rId3" w:history="1">
        <w:r w:rsidRPr="005670A4">
          <w:rPr>
            <w:rStyle w:val="Lienhypertexte"/>
            <w:rFonts w:ascii="Times New Roman" w:hAnsi="Times New Roman" w:cs="Times New Roman"/>
            <w:lang w:val="fr-BE"/>
          </w:rPr>
          <w:t>Les Verts/Parlement</w:t>
        </w:r>
      </w:hyperlink>
      <w:r w:rsidRPr="008445CC">
        <w:rPr>
          <w:rFonts w:ascii="Times New Roman" w:hAnsi="Times New Roman" w:cs="Times New Roman"/>
          <w:lang w:val="fr-BE"/>
        </w:rPr>
        <w:t xml:space="preserve">, 294/83, EU:C:1986:166, point 23. </w:t>
      </w:r>
    </w:p>
  </w:footnote>
  <w:footnote w:id="11">
    <w:p w14:paraId="3F4DE8BE" w14:textId="429693CC"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lang w:val="fr-BE"/>
        </w:rPr>
        <w:footnoteRef/>
      </w:r>
      <w:r w:rsidRPr="00D8699A">
        <w:rPr>
          <w:rFonts w:ascii="Times New Roman" w:hAnsi="Times New Roman" w:cs="Times New Roman"/>
          <w:lang w:val="fr-BE"/>
        </w:rPr>
        <w:t xml:space="preserve"> </w:t>
      </w:r>
      <w:proofErr w:type="spellStart"/>
      <w:r w:rsidRPr="00D8699A">
        <w:rPr>
          <w:rFonts w:ascii="Times New Roman" w:hAnsi="Times New Roman" w:cs="Times New Roman"/>
          <w:lang w:val="fr-BE"/>
        </w:rPr>
        <w:t>Gosalbo</w:t>
      </w:r>
      <w:proofErr w:type="spellEnd"/>
      <w:r w:rsidRPr="00D8699A">
        <w:rPr>
          <w:rFonts w:ascii="Times New Roman" w:hAnsi="Times New Roman" w:cs="Times New Roman"/>
          <w:lang w:val="fr-BE"/>
        </w:rPr>
        <w:t xml:space="preserve"> Bono Ricardo, Etat de droit et Droit de l’Union Européenne, Première Partie</w:t>
      </w:r>
      <w:r w:rsidR="00F61192">
        <w:rPr>
          <w:rFonts w:ascii="Times New Roman" w:hAnsi="Times New Roman" w:cs="Times New Roman"/>
          <w:lang w:val="fr-BE"/>
        </w:rPr>
        <w:t>,</w:t>
      </w:r>
      <w:r w:rsidRPr="00D8699A">
        <w:rPr>
          <w:rFonts w:ascii="Times New Roman" w:hAnsi="Times New Roman" w:cs="Times New Roman"/>
          <w:lang w:val="fr-BE"/>
        </w:rPr>
        <w:t xml:space="preserve"> p. 27.</w:t>
      </w:r>
    </w:p>
  </w:footnote>
  <w:footnote w:id="12">
    <w:p w14:paraId="50F80B70" w14:textId="2BA931E7"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lang w:val="fr-BE"/>
        </w:rPr>
        <w:footnoteRef/>
      </w:r>
      <w:r w:rsidRPr="00D8699A">
        <w:rPr>
          <w:rFonts w:ascii="Times New Roman" w:hAnsi="Times New Roman" w:cs="Times New Roman"/>
          <w:lang w:val="fr-BE"/>
        </w:rPr>
        <w:t xml:space="preserve"> Arrêt </w:t>
      </w:r>
      <w:hyperlink r:id="rId4" w:history="1">
        <w:r w:rsidRPr="00D8699A">
          <w:rPr>
            <w:rStyle w:val="Lienhypertexte"/>
            <w:rFonts w:ascii="Times New Roman" w:hAnsi="Times New Roman" w:cs="Times New Roman"/>
            <w:lang w:val="fr-BE"/>
          </w:rPr>
          <w:t>Les Verts/Parlement</w:t>
        </w:r>
      </w:hyperlink>
      <w:r>
        <w:rPr>
          <w:rFonts w:ascii="Times New Roman" w:hAnsi="Times New Roman" w:cs="Times New Roman"/>
          <w:lang w:val="fr-BE"/>
        </w:rPr>
        <w:t xml:space="preserve">, </w:t>
      </w:r>
      <w:r w:rsidRPr="00D8699A">
        <w:rPr>
          <w:rFonts w:ascii="Times New Roman" w:hAnsi="Times New Roman" w:cs="Times New Roman"/>
          <w:lang w:val="fr-BE"/>
        </w:rPr>
        <w:t>point 23.</w:t>
      </w:r>
    </w:p>
  </w:footnote>
  <w:footnote w:id="13">
    <w:p w14:paraId="56DB9EFA" w14:textId="77777777"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lang w:val="fr-BE"/>
        </w:rPr>
        <w:footnoteRef/>
      </w:r>
      <w:r w:rsidRPr="00D8699A">
        <w:rPr>
          <w:rFonts w:ascii="Times New Roman" w:hAnsi="Times New Roman" w:cs="Times New Roman"/>
          <w:lang w:val="fr-BE"/>
        </w:rPr>
        <w:t xml:space="preserve"> Arrêt </w:t>
      </w:r>
      <w:hyperlink r:id="rId5" w:history="1">
        <w:r w:rsidRPr="00D8699A">
          <w:rPr>
            <w:rStyle w:val="Lienhypertexte"/>
            <w:rFonts w:ascii="Times New Roman" w:hAnsi="Times New Roman" w:cs="Times New Roman"/>
            <w:lang w:val="fr-BE"/>
          </w:rPr>
          <w:t xml:space="preserve">Inuit </w:t>
        </w:r>
        <w:proofErr w:type="spellStart"/>
        <w:r w:rsidRPr="00D8699A">
          <w:rPr>
            <w:rStyle w:val="Lienhypertexte"/>
            <w:rFonts w:ascii="Times New Roman" w:hAnsi="Times New Roman" w:cs="Times New Roman"/>
            <w:lang w:val="fr-BE"/>
          </w:rPr>
          <w:t>Tapiriit</w:t>
        </w:r>
        <w:proofErr w:type="spellEnd"/>
        <w:r w:rsidRPr="00D8699A">
          <w:rPr>
            <w:rStyle w:val="Lienhypertexte"/>
            <w:rFonts w:ascii="Times New Roman" w:hAnsi="Times New Roman" w:cs="Times New Roman"/>
            <w:lang w:val="fr-BE"/>
          </w:rPr>
          <w:t xml:space="preserve"> </w:t>
        </w:r>
        <w:proofErr w:type="spellStart"/>
        <w:r w:rsidRPr="00D8699A">
          <w:rPr>
            <w:rStyle w:val="Lienhypertexte"/>
            <w:rFonts w:ascii="Times New Roman" w:hAnsi="Times New Roman" w:cs="Times New Roman"/>
            <w:lang w:val="fr-BE"/>
          </w:rPr>
          <w:t>Kanatami</w:t>
        </w:r>
        <w:proofErr w:type="spellEnd"/>
        <w:r w:rsidRPr="00D8699A">
          <w:rPr>
            <w:rStyle w:val="Lienhypertexte"/>
            <w:rFonts w:ascii="Times New Roman" w:hAnsi="Times New Roman" w:cs="Times New Roman"/>
            <w:lang w:val="fr-BE"/>
          </w:rPr>
          <w:t xml:space="preserve"> </w:t>
        </w:r>
        <w:proofErr w:type="spellStart"/>
        <w:r w:rsidRPr="00D8699A">
          <w:rPr>
            <w:rStyle w:val="Lienhypertexte"/>
            <w:rFonts w:ascii="Times New Roman" w:hAnsi="Times New Roman" w:cs="Times New Roman"/>
            <w:lang w:val="fr-BE"/>
          </w:rPr>
          <w:t>u.a</w:t>
        </w:r>
        <w:proofErr w:type="spellEnd"/>
        <w:r w:rsidRPr="00D8699A">
          <w:rPr>
            <w:rStyle w:val="Lienhypertexte"/>
            <w:rFonts w:ascii="Times New Roman" w:hAnsi="Times New Roman" w:cs="Times New Roman"/>
            <w:lang w:val="fr-BE"/>
          </w:rPr>
          <w:t>./Parlement et Conseil</w:t>
        </w:r>
      </w:hyperlink>
      <w:r w:rsidRPr="00D8699A">
        <w:rPr>
          <w:rFonts w:ascii="Times New Roman" w:hAnsi="Times New Roman" w:cs="Times New Roman"/>
          <w:lang w:val="fr-BE"/>
        </w:rPr>
        <w:t>, C</w:t>
      </w:r>
      <w:r w:rsidRPr="00D8699A">
        <w:rPr>
          <w:rFonts w:ascii="Times New Roman" w:hAnsi="Times New Roman" w:cs="Times New Roman"/>
          <w:lang w:val="fr-BE"/>
        </w:rPr>
        <w:noBreakHyphen/>
        <w:t>583/11 P, EU:C:2013:625; point  91.</w:t>
      </w:r>
    </w:p>
  </w:footnote>
  <w:footnote w:id="14">
    <w:p w14:paraId="426ECE1D" w14:textId="77777777"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lang w:val="fr-BE"/>
        </w:rPr>
        <w:footnoteRef/>
      </w:r>
      <w:r w:rsidRPr="00D8699A">
        <w:rPr>
          <w:rFonts w:ascii="Times New Roman" w:hAnsi="Times New Roman" w:cs="Times New Roman"/>
          <w:color w:val="333333"/>
          <w:sz w:val="25"/>
          <w:szCs w:val="25"/>
          <w:lang w:val="fr-BE"/>
        </w:rPr>
        <w:t xml:space="preserve"> </w:t>
      </w:r>
      <w:r w:rsidRPr="00D8699A">
        <w:rPr>
          <w:rFonts w:ascii="Times New Roman" w:hAnsi="Times New Roman" w:cs="Times New Roman"/>
          <w:lang w:val="fr-BE"/>
        </w:rPr>
        <w:t xml:space="preserve">Arrêt </w:t>
      </w:r>
      <w:hyperlink r:id="rId6" w:history="1">
        <w:r w:rsidRPr="00D8699A">
          <w:rPr>
            <w:rStyle w:val="Lienhypertexte"/>
            <w:rFonts w:ascii="Times New Roman" w:hAnsi="Times New Roman" w:cs="Times New Roman"/>
            <w:lang w:val="fr-BE"/>
          </w:rPr>
          <w:t>DEB</w:t>
        </w:r>
      </w:hyperlink>
      <w:r w:rsidRPr="00D8699A">
        <w:rPr>
          <w:rFonts w:ascii="Times New Roman" w:hAnsi="Times New Roman" w:cs="Times New Roman"/>
          <w:lang w:val="fr-BE"/>
        </w:rPr>
        <w:t>, C</w:t>
      </w:r>
      <w:r w:rsidRPr="00D8699A">
        <w:rPr>
          <w:rFonts w:ascii="Times New Roman" w:hAnsi="Times New Roman" w:cs="Times New Roman"/>
          <w:lang w:val="fr-BE"/>
        </w:rPr>
        <w:noBreakHyphen/>
        <w:t xml:space="preserve">279/09, EU:C:2010:811; point 58. </w:t>
      </w:r>
    </w:p>
  </w:footnote>
  <w:footnote w:id="15">
    <w:p w14:paraId="2FE5FA97" w14:textId="3DFF9AA0"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lang w:val="fr-BE"/>
        </w:rPr>
        <w:footnoteRef/>
      </w:r>
      <w:r w:rsidRPr="00D8699A">
        <w:rPr>
          <w:rFonts w:ascii="Times New Roman" w:hAnsi="Times New Roman" w:cs="Times New Roman"/>
          <w:lang w:val="fr-BE"/>
        </w:rPr>
        <w:t xml:space="preserve"> Arrêt </w:t>
      </w:r>
      <w:hyperlink r:id="rId7" w:history="1">
        <w:proofErr w:type="spellStart"/>
        <w:r w:rsidRPr="00D8699A">
          <w:rPr>
            <w:rStyle w:val="Lienhypertexte"/>
            <w:rFonts w:ascii="Times New Roman" w:hAnsi="Times New Roman" w:cs="Times New Roman"/>
            <w:lang w:val="fr-BE"/>
          </w:rPr>
          <w:t>Advocaten</w:t>
        </w:r>
        <w:proofErr w:type="spellEnd"/>
        <w:r w:rsidRPr="00D8699A">
          <w:rPr>
            <w:rStyle w:val="Lienhypertexte"/>
            <w:rFonts w:ascii="Times New Roman" w:hAnsi="Times New Roman" w:cs="Times New Roman"/>
            <w:lang w:val="fr-BE"/>
          </w:rPr>
          <w:t xml:space="preserve"> </w:t>
        </w:r>
        <w:proofErr w:type="spellStart"/>
        <w:r w:rsidRPr="00D8699A">
          <w:rPr>
            <w:rStyle w:val="Lienhypertexte"/>
            <w:rFonts w:ascii="Times New Roman" w:hAnsi="Times New Roman" w:cs="Times New Roman"/>
            <w:lang w:val="fr-BE"/>
          </w:rPr>
          <w:t>voor</w:t>
        </w:r>
        <w:proofErr w:type="spellEnd"/>
        <w:r w:rsidRPr="00D8699A">
          <w:rPr>
            <w:rStyle w:val="Lienhypertexte"/>
            <w:rFonts w:ascii="Times New Roman" w:hAnsi="Times New Roman" w:cs="Times New Roman"/>
            <w:lang w:val="fr-BE"/>
          </w:rPr>
          <w:t xml:space="preserve"> de </w:t>
        </w:r>
        <w:proofErr w:type="spellStart"/>
        <w:r w:rsidRPr="00D8699A">
          <w:rPr>
            <w:rStyle w:val="Lienhypertexte"/>
            <w:rFonts w:ascii="Times New Roman" w:hAnsi="Times New Roman" w:cs="Times New Roman"/>
            <w:lang w:val="fr-BE"/>
          </w:rPr>
          <w:t>Wereld</w:t>
        </w:r>
        <w:proofErr w:type="spellEnd"/>
      </w:hyperlink>
      <w:r w:rsidRPr="00D8699A">
        <w:rPr>
          <w:rFonts w:ascii="Times New Roman" w:hAnsi="Times New Roman" w:cs="Times New Roman"/>
          <w:lang w:val="fr-BE"/>
        </w:rPr>
        <w:t>, C</w:t>
      </w:r>
      <w:r w:rsidRPr="00D8699A">
        <w:rPr>
          <w:rFonts w:ascii="Times New Roman" w:hAnsi="Times New Roman" w:cs="Times New Roman"/>
          <w:lang w:val="fr-BE"/>
        </w:rPr>
        <w:noBreakHyphen/>
        <w:t>303/05, EU:C:2007:261</w:t>
      </w:r>
      <w:r w:rsidR="00C5719F">
        <w:rPr>
          <w:rFonts w:ascii="Times New Roman" w:hAnsi="Times New Roman" w:cs="Times New Roman"/>
          <w:lang w:val="fr-BE"/>
        </w:rPr>
        <w:t>,</w:t>
      </w:r>
      <w:r w:rsidRPr="00D8699A">
        <w:rPr>
          <w:rFonts w:ascii="Times New Roman" w:hAnsi="Times New Roman" w:cs="Times New Roman"/>
          <w:lang w:val="fr-BE"/>
        </w:rPr>
        <w:t xml:space="preserve"> point 45; arrêt </w:t>
      </w:r>
      <w:proofErr w:type="spellStart"/>
      <w:r w:rsidRPr="00D8699A">
        <w:rPr>
          <w:rFonts w:ascii="Times New Roman" w:hAnsi="Times New Roman" w:cs="Times New Roman"/>
          <w:lang w:val="fr-BE"/>
        </w:rPr>
        <w:t>Gestoras</w:t>
      </w:r>
      <w:proofErr w:type="spellEnd"/>
      <w:r w:rsidRPr="00D8699A">
        <w:rPr>
          <w:rFonts w:ascii="Times New Roman" w:hAnsi="Times New Roman" w:cs="Times New Roman"/>
          <w:lang w:val="fr-BE"/>
        </w:rPr>
        <w:t xml:space="preserve"> Pro </w:t>
      </w:r>
      <w:proofErr w:type="spellStart"/>
      <w:r w:rsidRPr="00D8699A">
        <w:rPr>
          <w:rFonts w:ascii="Times New Roman" w:hAnsi="Times New Roman" w:cs="Times New Roman"/>
          <w:lang w:val="fr-BE"/>
        </w:rPr>
        <w:t>Amnistía</w:t>
      </w:r>
      <w:proofErr w:type="spellEnd"/>
      <w:r w:rsidRPr="00D8699A">
        <w:rPr>
          <w:rFonts w:ascii="Times New Roman" w:hAnsi="Times New Roman" w:cs="Times New Roman"/>
          <w:lang w:val="fr-BE"/>
        </w:rPr>
        <w:t xml:space="preserve"> </w:t>
      </w:r>
      <w:proofErr w:type="spellStart"/>
      <w:r w:rsidRPr="00D8699A">
        <w:rPr>
          <w:rFonts w:ascii="Times New Roman" w:hAnsi="Times New Roman" w:cs="Times New Roman"/>
          <w:lang w:val="fr-BE"/>
        </w:rPr>
        <w:t>e.a</w:t>
      </w:r>
      <w:proofErr w:type="spellEnd"/>
      <w:r w:rsidRPr="00D8699A">
        <w:rPr>
          <w:rFonts w:ascii="Times New Roman" w:hAnsi="Times New Roman" w:cs="Times New Roman"/>
          <w:lang w:val="fr-BE"/>
        </w:rPr>
        <w:t>./Conseil, C</w:t>
      </w:r>
      <w:r w:rsidRPr="00D8699A">
        <w:rPr>
          <w:rFonts w:ascii="Times New Roman" w:hAnsi="Times New Roman" w:cs="Times New Roman"/>
          <w:lang w:val="fr-BE"/>
        </w:rPr>
        <w:noBreakHyphen/>
        <w:t>354/04 P, EU:C:2007:115</w:t>
      </w:r>
      <w:r w:rsidR="00C5719F">
        <w:rPr>
          <w:rFonts w:ascii="Times New Roman" w:hAnsi="Times New Roman" w:cs="Times New Roman"/>
          <w:lang w:val="fr-BE"/>
        </w:rPr>
        <w:t>,</w:t>
      </w:r>
      <w:r w:rsidRPr="00D8699A">
        <w:rPr>
          <w:rFonts w:ascii="Times New Roman" w:hAnsi="Times New Roman" w:cs="Times New Roman"/>
          <w:lang w:val="fr-BE"/>
        </w:rPr>
        <w:t xml:space="preserve"> point 51.</w:t>
      </w:r>
    </w:p>
  </w:footnote>
  <w:footnote w:id="16">
    <w:p w14:paraId="58650534" w14:textId="65775868"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rPr>
        <w:footnoteRef/>
      </w:r>
      <w:r w:rsidRPr="00D8699A">
        <w:rPr>
          <w:rFonts w:ascii="Times New Roman" w:hAnsi="Times New Roman" w:cs="Times New Roman"/>
          <w:lang w:val="fr-BE"/>
        </w:rPr>
        <w:t xml:space="preserve"> La Cour précise que «</w:t>
      </w:r>
      <w:r w:rsidRPr="00D8699A">
        <w:rPr>
          <w:rFonts w:ascii="Times New Roman" w:hAnsi="Times New Roman" w:cs="Times New Roman"/>
          <w:i/>
          <w:lang w:val="fr-BE"/>
        </w:rPr>
        <w:t>l’Union est une Union de droit dans laquelle ses institutions sont soumises au contrôle de la conformité de leurs actes, notamment, avec les traités, les principes généraux du droit ainsi que les droits fondamentaux</w:t>
      </w:r>
      <w:r>
        <w:rPr>
          <w:rFonts w:ascii="Times New Roman" w:hAnsi="Times New Roman" w:cs="Times New Roman"/>
          <w:lang w:val="fr-BE"/>
        </w:rPr>
        <w:t xml:space="preserve"> » arrêt Inuit </w:t>
      </w:r>
      <w:proofErr w:type="spellStart"/>
      <w:r>
        <w:rPr>
          <w:rFonts w:ascii="Times New Roman" w:hAnsi="Times New Roman" w:cs="Times New Roman"/>
          <w:lang w:val="fr-BE"/>
        </w:rPr>
        <w:t>Tapiriit</w:t>
      </w:r>
      <w:proofErr w:type="spellEnd"/>
      <w:r>
        <w:rPr>
          <w:rFonts w:ascii="Times New Roman" w:hAnsi="Times New Roman" w:cs="Times New Roman"/>
          <w:lang w:val="fr-BE"/>
        </w:rPr>
        <w:t xml:space="preserve"> </w:t>
      </w:r>
      <w:proofErr w:type="spellStart"/>
      <w:r>
        <w:rPr>
          <w:rFonts w:ascii="Times New Roman" w:hAnsi="Times New Roman" w:cs="Times New Roman"/>
          <w:lang w:val="fr-BE"/>
        </w:rPr>
        <w:t>Kanatami</w:t>
      </w:r>
      <w:proofErr w:type="spellEnd"/>
      <w:r>
        <w:rPr>
          <w:rFonts w:ascii="Times New Roman" w:hAnsi="Times New Roman" w:cs="Times New Roman"/>
          <w:lang w:val="fr-BE"/>
        </w:rPr>
        <w:t xml:space="preserve"> </w:t>
      </w:r>
      <w:proofErr w:type="spellStart"/>
      <w:r>
        <w:rPr>
          <w:rFonts w:ascii="Times New Roman" w:hAnsi="Times New Roman" w:cs="Times New Roman"/>
          <w:lang w:val="fr-BE"/>
        </w:rPr>
        <w:t>e.a</w:t>
      </w:r>
      <w:proofErr w:type="spellEnd"/>
      <w:r>
        <w:rPr>
          <w:rFonts w:ascii="Times New Roman" w:hAnsi="Times New Roman" w:cs="Times New Roman"/>
          <w:lang w:val="fr-BE"/>
        </w:rPr>
        <w:t>./Parlement et Conseil, C-583/11 P, EU </w:t>
      </w:r>
      <w:proofErr w:type="gramStart"/>
      <w:r>
        <w:rPr>
          <w:rFonts w:ascii="Times New Roman" w:hAnsi="Times New Roman" w:cs="Times New Roman"/>
          <w:lang w:val="fr-BE"/>
        </w:rPr>
        <w:t>:C</w:t>
      </w:r>
      <w:proofErr w:type="gramEnd"/>
      <w:r>
        <w:rPr>
          <w:rFonts w:ascii="Times New Roman" w:hAnsi="Times New Roman" w:cs="Times New Roman"/>
          <w:lang w:val="fr-BE"/>
        </w:rPr>
        <w:t xml:space="preserve"> :2013 :625, point 91 ; voir aussi </w:t>
      </w:r>
      <w:proofErr w:type="spellStart"/>
      <w:r>
        <w:rPr>
          <w:rFonts w:ascii="Times New Roman" w:hAnsi="Times New Roman" w:cs="Times New Roman"/>
          <w:lang w:val="fr-BE"/>
        </w:rPr>
        <w:t>Unión</w:t>
      </w:r>
      <w:proofErr w:type="spellEnd"/>
      <w:r>
        <w:rPr>
          <w:rFonts w:ascii="Times New Roman" w:hAnsi="Times New Roman" w:cs="Times New Roman"/>
          <w:lang w:val="fr-BE"/>
        </w:rPr>
        <w:t xml:space="preserve"> de </w:t>
      </w:r>
      <w:proofErr w:type="spellStart"/>
      <w:r>
        <w:rPr>
          <w:rFonts w:ascii="Times New Roman" w:hAnsi="Times New Roman" w:cs="Times New Roman"/>
          <w:lang w:val="fr-BE"/>
        </w:rPr>
        <w:t>Pequeños</w:t>
      </w:r>
      <w:proofErr w:type="spellEnd"/>
      <w:r>
        <w:rPr>
          <w:rFonts w:ascii="Times New Roman" w:hAnsi="Times New Roman" w:cs="Times New Roman"/>
          <w:lang w:val="fr-BE"/>
        </w:rPr>
        <w:t xml:space="preserve"> </w:t>
      </w:r>
      <w:proofErr w:type="spellStart"/>
      <w:r>
        <w:rPr>
          <w:rFonts w:ascii="Times New Roman" w:hAnsi="Times New Roman" w:cs="Times New Roman"/>
          <w:lang w:val="fr-BE"/>
        </w:rPr>
        <w:t>Agricultores</w:t>
      </w:r>
      <w:proofErr w:type="spellEnd"/>
      <w:r>
        <w:rPr>
          <w:rFonts w:ascii="Times New Roman" w:hAnsi="Times New Roman" w:cs="Times New Roman"/>
          <w:lang w:val="fr-BE"/>
        </w:rPr>
        <w:t xml:space="preserve"> c. Conseil, </w:t>
      </w:r>
      <w:r w:rsidRPr="00832628">
        <w:rPr>
          <w:rFonts w:ascii="Times New Roman" w:hAnsi="Times New Roman" w:cs="Times New Roman"/>
          <w:lang w:val="fr-BE"/>
        </w:rPr>
        <w:t>C-50/00, EU :2002 :</w:t>
      </w:r>
      <w:r>
        <w:rPr>
          <w:rFonts w:ascii="Times New Roman" w:hAnsi="Times New Roman" w:cs="Times New Roman"/>
          <w:lang w:val="fr-BE"/>
        </w:rPr>
        <w:t>462, point 38.</w:t>
      </w:r>
    </w:p>
  </w:footnote>
  <w:footnote w:id="17">
    <w:p w14:paraId="2B97F2F6" w14:textId="77777777" w:rsidR="00661A55" w:rsidRPr="00D57884" w:rsidRDefault="00661A55">
      <w:pPr>
        <w:pStyle w:val="Notedebasdepage"/>
        <w:jc w:val="both"/>
        <w:rPr>
          <w:rFonts w:ascii="Times New Roman" w:hAnsi="Times New Roman" w:cs="Times New Roman"/>
          <w:lang w:val="fr-BE"/>
        </w:rPr>
      </w:pPr>
      <w:r w:rsidRPr="00D327FE">
        <w:rPr>
          <w:rStyle w:val="Appelnotedebasdep"/>
          <w:rFonts w:ascii="Times New Roman" w:hAnsi="Times New Roman" w:cs="Times New Roman"/>
          <w:lang w:val="fr-BE"/>
        </w:rPr>
        <w:footnoteRef/>
      </w:r>
      <w:r w:rsidRPr="00D327FE">
        <w:rPr>
          <w:rFonts w:ascii="Times New Roman" w:hAnsi="Times New Roman" w:cs="Times New Roman"/>
          <w:lang w:val="fr-BE"/>
        </w:rPr>
        <w:t xml:space="preserve"> Le principe de proportionnalité est ancré, aux côtés du principe de subsidiarité, à l’article 5, premier alinéa, du traité s</w:t>
      </w:r>
      <w:r w:rsidRPr="004B2802">
        <w:rPr>
          <w:rFonts w:ascii="Times New Roman" w:hAnsi="Times New Roman" w:cs="Times New Roman"/>
          <w:lang w:val="fr-BE"/>
        </w:rPr>
        <w:t>ur l’Union européenne, et signifie que „le contenu et la forme de l’action de l’Union n’excèdent pas ce qui est nécessaire pour atteindre les objectifs des traités“ (Article 5 alinéa 4 TUE).  De surcroît, le protocole (au traité) n°2 est consacré à „l’appl</w:t>
      </w:r>
      <w:r w:rsidRPr="00D57884">
        <w:rPr>
          <w:rFonts w:ascii="Times New Roman" w:hAnsi="Times New Roman" w:cs="Times New Roman"/>
          <w:lang w:val="fr-BE"/>
        </w:rPr>
        <w:t>ication des principes de subsidiarité et de proportionnalité“.</w:t>
      </w:r>
    </w:p>
  </w:footnote>
  <w:footnote w:id="18">
    <w:p w14:paraId="7F50809C" w14:textId="10288DD5" w:rsidR="00661A55" w:rsidRPr="005670A4" w:rsidRDefault="00661A55" w:rsidP="00D8699A">
      <w:pPr>
        <w:pStyle w:val="Notedebasdepage"/>
        <w:jc w:val="both"/>
        <w:rPr>
          <w:rFonts w:ascii="Times New Roman" w:hAnsi="Times New Roman" w:cs="Times New Roman"/>
          <w:lang w:val="fr-BE"/>
        </w:rPr>
      </w:pPr>
      <w:r w:rsidRPr="00D327FE">
        <w:rPr>
          <w:rStyle w:val="Appelnotedebasdep"/>
          <w:rFonts w:ascii="Times New Roman" w:hAnsi="Times New Roman" w:cs="Times New Roman"/>
          <w:lang w:val="fr-BE"/>
        </w:rPr>
        <w:footnoteRef/>
      </w:r>
      <w:r w:rsidRPr="00D327FE">
        <w:rPr>
          <w:rFonts w:ascii="Times New Roman" w:hAnsi="Times New Roman" w:cs="Times New Roman"/>
          <w:lang w:val="fr-BE"/>
        </w:rPr>
        <w:t xml:space="preserve"> </w:t>
      </w:r>
      <w:r w:rsidRPr="004B2802">
        <w:rPr>
          <w:rFonts w:ascii="Times New Roman" w:hAnsi="Times New Roman" w:cs="Times New Roman"/>
          <w:lang w:val="fr-BE"/>
        </w:rPr>
        <w:t xml:space="preserve">Pierre </w:t>
      </w:r>
      <w:proofErr w:type="spellStart"/>
      <w:r w:rsidRPr="004B2802">
        <w:rPr>
          <w:rFonts w:ascii="Times New Roman" w:hAnsi="Times New Roman" w:cs="Times New Roman"/>
          <w:lang w:val="fr-BE"/>
        </w:rPr>
        <w:t>Pescatore</w:t>
      </w:r>
      <w:proofErr w:type="spellEnd"/>
      <w:r w:rsidRPr="004B2802">
        <w:rPr>
          <w:rFonts w:ascii="Times New Roman" w:hAnsi="Times New Roman" w:cs="Times New Roman"/>
          <w:lang w:val="fr-BE"/>
        </w:rPr>
        <w:t>, « Le recours, dans la jurisprudence de la Cour de justice des communautés européennes, à des normes déduites de la comparaison des droits des Etats membres », Revue Internat</w:t>
      </w:r>
      <w:r w:rsidRPr="00D57884">
        <w:rPr>
          <w:rFonts w:ascii="Times New Roman" w:hAnsi="Times New Roman" w:cs="Times New Roman"/>
          <w:lang w:val="fr-BE"/>
        </w:rPr>
        <w:t xml:space="preserve">ionale de droit comparé, Vol. 32, N. 2, 1980, p. 352. </w:t>
      </w:r>
      <w:r w:rsidRPr="005670A4">
        <w:rPr>
          <w:rFonts w:ascii="Times New Roman" w:hAnsi="Times New Roman" w:cs="Times New Roman"/>
          <w:lang w:val="fr-BE"/>
        </w:rPr>
        <w:t>.</w:t>
      </w:r>
    </w:p>
  </w:footnote>
  <w:footnote w:id="19">
    <w:p w14:paraId="4E62D82F" w14:textId="3BB01C0C" w:rsidR="00661A55" w:rsidRPr="00D327FE" w:rsidRDefault="00661A55" w:rsidP="00D8699A">
      <w:pPr>
        <w:pStyle w:val="Notedebasdepage"/>
        <w:jc w:val="both"/>
        <w:rPr>
          <w:rFonts w:ascii="Times New Roman" w:hAnsi="Times New Roman" w:cs="Times New Roman"/>
          <w:lang w:val="fr-BE"/>
        </w:rPr>
      </w:pPr>
      <w:r w:rsidRPr="00D327FE">
        <w:rPr>
          <w:rStyle w:val="Appelnotedebasdep"/>
          <w:rFonts w:ascii="Times New Roman" w:hAnsi="Times New Roman" w:cs="Times New Roman"/>
          <w:lang w:val="fr-BE"/>
        </w:rPr>
        <w:footnoteRef/>
      </w:r>
      <w:r w:rsidRPr="00D327FE">
        <w:rPr>
          <w:rFonts w:ascii="Times New Roman" w:hAnsi="Times New Roman" w:cs="Times New Roman"/>
          <w:color w:val="333333"/>
          <w:sz w:val="25"/>
          <w:szCs w:val="25"/>
          <w:lang w:val="fr-BE"/>
        </w:rPr>
        <w:t xml:space="preserve"> </w:t>
      </w:r>
      <w:r w:rsidRPr="004B2802">
        <w:rPr>
          <w:rFonts w:ascii="Times New Roman" w:hAnsi="Times New Roman" w:cs="Times New Roman"/>
          <w:lang w:val="fr-BE"/>
        </w:rPr>
        <w:t xml:space="preserve">Arrêt </w:t>
      </w:r>
      <w:r w:rsidR="00EE59AA">
        <w:fldChar w:fldCharType="begin"/>
      </w:r>
      <w:r w:rsidR="00EE59AA" w:rsidRPr="00AE4401">
        <w:rPr>
          <w:lang w:val="fr-FR"/>
          <w:rPrChange w:id="1" w:author="mriout" w:date="2015-10-09T11:31:00Z">
            <w:rPr/>
          </w:rPrChange>
        </w:rPr>
        <w:instrText xml:space="preserve"> HYPERLINK "http://eur-lex.europa.eu/legal-content/DE/TXT/?uri=CELEX:61980CJ0212" </w:instrText>
      </w:r>
      <w:r w:rsidR="00EE59AA">
        <w:fldChar w:fldCharType="separate"/>
      </w:r>
      <w:proofErr w:type="spellStart"/>
      <w:r w:rsidRPr="005670A4">
        <w:rPr>
          <w:rStyle w:val="Lienhypertexte"/>
          <w:rFonts w:ascii="Times New Roman" w:hAnsi="Times New Roman" w:cs="Times New Roman"/>
          <w:lang w:val="fr-BE"/>
        </w:rPr>
        <w:t>Meridionale</w:t>
      </w:r>
      <w:proofErr w:type="spellEnd"/>
      <w:r w:rsidRPr="005670A4">
        <w:rPr>
          <w:rStyle w:val="Lienhypertexte"/>
          <w:rFonts w:ascii="Times New Roman" w:hAnsi="Times New Roman" w:cs="Times New Roman"/>
          <w:lang w:val="fr-BE"/>
        </w:rPr>
        <w:t xml:space="preserve"> </w:t>
      </w:r>
      <w:proofErr w:type="spellStart"/>
      <w:r w:rsidRPr="005670A4">
        <w:rPr>
          <w:rStyle w:val="Lienhypertexte"/>
          <w:rFonts w:ascii="Times New Roman" w:hAnsi="Times New Roman" w:cs="Times New Roman"/>
          <w:lang w:val="fr-BE"/>
        </w:rPr>
        <w:t>Industria</w:t>
      </w:r>
      <w:proofErr w:type="spellEnd"/>
      <w:r w:rsidRPr="005670A4">
        <w:rPr>
          <w:rStyle w:val="Lienhypertexte"/>
          <w:rFonts w:ascii="Times New Roman" w:hAnsi="Times New Roman" w:cs="Times New Roman"/>
          <w:lang w:val="fr-BE"/>
        </w:rPr>
        <w:t xml:space="preserve"> </w:t>
      </w:r>
      <w:proofErr w:type="spellStart"/>
      <w:r w:rsidRPr="005670A4">
        <w:rPr>
          <w:rStyle w:val="Lienhypertexte"/>
          <w:rFonts w:ascii="Times New Roman" w:hAnsi="Times New Roman" w:cs="Times New Roman"/>
          <w:lang w:val="fr-BE"/>
        </w:rPr>
        <w:t>Salumi</w:t>
      </w:r>
      <w:proofErr w:type="spellEnd"/>
      <w:r w:rsidRPr="005670A4">
        <w:rPr>
          <w:rStyle w:val="Lienhypertexte"/>
          <w:rFonts w:ascii="Times New Roman" w:hAnsi="Times New Roman" w:cs="Times New Roman"/>
          <w:lang w:val="fr-BE"/>
        </w:rPr>
        <w:t xml:space="preserve"> </w:t>
      </w:r>
      <w:proofErr w:type="spellStart"/>
      <w:proofErr w:type="gramStart"/>
      <w:r w:rsidRPr="005670A4">
        <w:rPr>
          <w:rStyle w:val="Lienhypertexte"/>
          <w:rFonts w:ascii="Times New Roman" w:hAnsi="Times New Roman" w:cs="Times New Roman"/>
          <w:lang w:val="fr-BE"/>
        </w:rPr>
        <w:t>u.a</w:t>
      </w:r>
      <w:proofErr w:type="spellEnd"/>
      <w:r w:rsidRPr="005670A4">
        <w:rPr>
          <w:rStyle w:val="Lienhypertexte"/>
          <w:rFonts w:ascii="Times New Roman" w:hAnsi="Times New Roman" w:cs="Times New Roman"/>
          <w:lang w:val="fr-BE"/>
        </w:rPr>
        <w:t>.</w:t>
      </w:r>
      <w:r w:rsidR="00EE59AA">
        <w:rPr>
          <w:rStyle w:val="Lienhypertexte"/>
          <w:rFonts w:ascii="Times New Roman" w:hAnsi="Times New Roman" w:cs="Times New Roman"/>
          <w:lang w:val="fr-BE"/>
        </w:rPr>
        <w:fldChar w:fldCharType="end"/>
      </w:r>
      <w:r w:rsidRPr="00D327FE">
        <w:rPr>
          <w:rFonts w:ascii="Times New Roman" w:hAnsi="Times New Roman" w:cs="Times New Roman"/>
          <w:lang w:val="fr-BE"/>
        </w:rPr>
        <w:t>,</w:t>
      </w:r>
      <w:proofErr w:type="gramEnd"/>
      <w:r w:rsidRPr="00D327FE">
        <w:rPr>
          <w:rFonts w:ascii="Times New Roman" w:hAnsi="Times New Roman" w:cs="Times New Roman"/>
          <w:lang w:val="fr-BE"/>
        </w:rPr>
        <w:t xml:space="preserve"> 212/80 à 217/80, EU:C:1981:270</w:t>
      </w:r>
      <w:r w:rsidR="00F61192">
        <w:rPr>
          <w:rFonts w:ascii="Times New Roman" w:hAnsi="Times New Roman" w:cs="Times New Roman"/>
          <w:lang w:val="fr-BE"/>
        </w:rPr>
        <w:t>,</w:t>
      </w:r>
      <w:r w:rsidRPr="00D327FE">
        <w:rPr>
          <w:rFonts w:ascii="Times New Roman" w:hAnsi="Times New Roman" w:cs="Times New Roman"/>
          <w:lang w:val="fr-BE"/>
        </w:rPr>
        <w:t xml:space="preserve"> point 10.</w:t>
      </w:r>
    </w:p>
  </w:footnote>
  <w:footnote w:id="20">
    <w:p w14:paraId="10B7614E" w14:textId="6E30C229" w:rsidR="00661A55" w:rsidRPr="00D327FE" w:rsidRDefault="00661A55" w:rsidP="00D8699A">
      <w:pPr>
        <w:pStyle w:val="Notedebasdepage"/>
        <w:jc w:val="both"/>
        <w:rPr>
          <w:rFonts w:ascii="Times New Roman" w:hAnsi="Times New Roman" w:cs="Times New Roman"/>
          <w:lang w:val="fr-BE"/>
        </w:rPr>
      </w:pPr>
      <w:r w:rsidRPr="00D327FE">
        <w:rPr>
          <w:rStyle w:val="Appelnotedebasdep"/>
          <w:rFonts w:ascii="Times New Roman" w:hAnsi="Times New Roman" w:cs="Times New Roman"/>
          <w:lang w:val="fr-BE"/>
        </w:rPr>
        <w:footnoteRef/>
      </w:r>
      <w:r w:rsidRPr="00D327FE">
        <w:rPr>
          <w:rFonts w:ascii="Times New Roman" w:hAnsi="Times New Roman" w:cs="Times New Roman"/>
          <w:lang w:val="fr-BE"/>
        </w:rPr>
        <w:t xml:space="preserve"> Arrêt </w:t>
      </w:r>
      <w:hyperlink r:id="rId8" w:history="1">
        <w:r w:rsidRPr="005670A4">
          <w:rPr>
            <w:rStyle w:val="Lienhypertexte"/>
            <w:rFonts w:ascii="Times New Roman" w:hAnsi="Times New Roman" w:cs="Times New Roman"/>
            <w:lang w:val="fr-BE"/>
          </w:rPr>
          <w:t xml:space="preserve">Commission/CAS </w:t>
        </w:r>
        <w:proofErr w:type="spellStart"/>
        <w:r w:rsidRPr="005670A4">
          <w:rPr>
            <w:rStyle w:val="Lienhypertexte"/>
            <w:rFonts w:ascii="Times New Roman" w:hAnsi="Times New Roman" w:cs="Times New Roman"/>
            <w:lang w:val="fr-BE"/>
          </w:rPr>
          <w:t>Succhi</w:t>
        </w:r>
        <w:proofErr w:type="spellEnd"/>
        <w:r w:rsidRPr="005670A4">
          <w:rPr>
            <w:rStyle w:val="Lienhypertexte"/>
            <w:rFonts w:ascii="Times New Roman" w:hAnsi="Times New Roman" w:cs="Times New Roman"/>
            <w:lang w:val="fr-BE"/>
          </w:rPr>
          <w:t xml:space="preserve"> di </w:t>
        </w:r>
        <w:proofErr w:type="spellStart"/>
        <w:r w:rsidRPr="005670A4">
          <w:rPr>
            <w:rStyle w:val="Lienhypertexte"/>
            <w:rFonts w:ascii="Times New Roman" w:hAnsi="Times New Roman" w:cs="Times New Roman"/>
            <w:lang w:val="fr-BE"/>
          </w:rPr>
          <w:t>Frutta</w:t>
        </w:r>
        <w:proofErr w:type="spellEnd"/>
      </w:hyperlink>
      <w:r w:rsidRPr="00D327FE">
        <w:rPr>
          <w:rFonts w:ascii="Times New Roman" w:hAnsi="Times New Roman" w:cs="Times New Roman"/>
          <w:lang w:val="fr-BE"/>
        </w:rPr>
        <w:t>, C</w:t>
      </w:r>
      <w:r w:rsidRPr="00D327FE">
        <w:rPr>
          <w:rFonts w:ascii="Times New Roman" w:hAnsi="Times New Roman" w:cs="Times New Roman"/>
          <w:lang w:val="fr-BE"/>
        </w:rPr>
        <w:noBreakHyphen/>
        <w:t>496/99 P, EU:C:2004:236</w:t>
      </w:r>
      <w:r w:rsidR="00F61192">
        <w:rPr>
          <w:rFonts w:ascii="Times New Roman" w:hAnsi="Times New Roman" w:cs="Times New Roman"/>
          <w:lang w:val="fr-BE"/>
        </w:rPr>
        <w:t>,</w:t>
      </w:r>
      <w:r w:rsidRPr="00D327FE">
        <w:rPr>
          <w:rFonts w:ascii="Times New Roman" w:hAnsi="Times New Roman" w:cs="Times New Roman"/>
          <w:lang w:val="fr-BE"/>
        </w:rPr>
        <w:t xml:space="preserve"> point 63.</w:t>
      </w:r>
    </w:p>
  </w:footnote>
  <w:footnote w:id="21">
    <w:p w14:paraId="661CB258" w14:textId="06B4BBB0" w:rsidR="00661A55" w:rsidRPr="00D327FE" w:rsidRDefault="00661A55">
      <w:pPr>
        <w:pStyle w:val="Notedebasdepage"/>
        <w:jc w:val="both"/>
        <w:rPr>
          <w:rFonts w:ascii="Times New Roman" w:hAnsi="Times New Roman" w:cs="Times New Roman"/>
          <w:lang w:val="fr-BE"/>
        </w:rPr>
      </w:pPr>
      <w:r w:rsidRPr="00D327FE">
        <w:rPr>
          <w:rStyle w:val="Appelnotedebasdep"/>
          <w:rFonts w:ascii="Times New Roman" w:hAnsi="Times New Roman" w:cs="Times New Roman"/>
          <w:lang w:val="fr-BE"/>
        </w:rPr>
        <w:footnoteRef/>
      </w:r>
      <w:r w:rsidRPr="00D327FE">
        <w:rPr>
          <w:rFonts w:ascii="Times New Roman" w:hAnsi="Times New Roman" w:cs="Times New Roman"/>
          <w:lang w:val="fr-BE"/>
        </w:rPr>
        <w:t xml:space="preserve"> </w:t>
      </w:r>
      <w:r w:rsidRPr="004B2802">
        <w:rPr>
          <w:rFonts w:ascii="Times New Roman" w:hAnsi="Times New Roman" w:cs="Times New Roman"/>
          <w:lang w:val="fr-BE"/>
        </w:rPr>
        <w:t>Art. 50 de la Charte des droits fondamentaux (Droit à ne pas être jugé ou puni pénalement deux fois pour une même infract</w:t>
      </w:r>
      <w:r w:rsidRPr="00D57884">
        <w:rPr>
          <w:rFonts w:ascii="Times New Roman" w:hAnsi="Times New Roman" w:cs="Times New Roman"/>
          <w:lang w:val="fr-BE"/>
        </w:rPr>
        <w:t xml:space="preserve">ion) </w:t>
      </w:r>
      <w:r w:rsidRPr="005670A4">
        <w:rPr>
          <w:rFonts w:ascii="Times New Roman" w:hAnsi="Times New Roman" w:cs="Times New Roman"/>
          <w:lang w:val="fr-BE"/>
        </w:rPr>
        <w:t xml:space="preserve">ainsi que l’arrêt </w:t>
      </w:r>
      <w:hyperlink r:id="rId9" w:history="1">
        <w:proofErr w:type="spellStart"/>
        <w:r w:rsidRPr="005670A4">
          <w:rPr>
            <w:rStyle w:val="Lienhypertexte"/>
            <w:rFonts w:ascii="Times New Roman" w:hAnsi="Times New Roman" w:cs="Times New Roman"/>
            <w:lang w:val="fr-BE"/>
          </w:rPr>
          <w:t>Åkerberg</w:t>
        </w:r>
        <w:proofErr w:type="spellEnd"/>
        <w:r w:rsidRPr="005670A4">
          <w:rPr>
            <w:rStyle w:val="Lienhypertexte"/>
            <w:rFonts w:ascii="Times New Roman" w:hAnsi="Times New Roman" w:cs="Times New Roman"/>
            <w:lang w:val="fr-BE"/>
          </w:rPr>
          <w:t xml:space="preserve"> </w:t>
        </w:r>
        <w:proofErr w:type="spellStart"/>
        <w:r w:rsidRPr="005670A4">
          <w:rPr>
            <w:rStyle w:val="Lienhypertexte"/>
            <w:rFonts w:ascii="Times New Roman" w:hAnsi="Times New Roman" w:cs="Times New Roman"/>
            <w:lang w:val="fr-BE"/>
          </w:rPr>
          <w:t>Fransson</w:t>
        </w:r>
        <w:proofErr w:type="spellEnd"/>
      </w:hyperlink>
      <w:r w:rsidRPr="00D327FE">
        <w:rPr>
          <w:rFonts w:ascii="Times New Roman" w:hAnsi="Times New Roman" w:cs="Times New Roman"/>
          <w:lang w:val="fr-BE"/>
        </w:rPr>
        <w:t>, C</w:t>
      </w:r>
      <w:r w:rsidRPr="00D327FE">
        <w:rPr>
          <w:rFonts w:ascii="Times New Roman" w:hAnsi="Times New Roman" w:cs="Times New Roman"/>
          <w:lang w:val="fr-BE"/>
        </w:rPr>
        <w:noBreakHyphen/>
        <w:t>617/10, EU:C:2013:105; points16 et 31.</w:t>
      </w:r>
    </w:p>
  </w:footnote>
  <w:footnote w:id="22">
    <w:p w14:paraId="75F2BEF8" w14:textId="5F959BE0" w:rsidR="00661A55" w:rsidRPr="005670A4" w:rsidRDefault="00661A55">
      <w:pPr>
        <w:pStyle w:val="Notedebasdepage"/>
        <w:jc w:val="both"/>
        <w:rPr>
          <w:rFonts w:ascii="Times New Roman" w:hAnsi="Times New Roman" w:cs="Times New Roman"/>
          <w:lang w:val="fr-BE"/>
        </w:rPr>
      </w:pPr>
      <w:r w:rsidRPr="00D327FE">
        <w:rPr>
          <w:rStyle w:val="Appelnotedebasdep"/>
          <w:rFonts w:ascii="Times New Roman" w:hAnsi="Times New Roman" w:cs="Times New Roman"/>
          <w:lang w:val="fr-BE"/>
        </w:rPr>
        <w:footnoteRef/>
      </w:r>
      <w:r w:rsidRPr="00D327FE">
        <w:rPr>
          <w:rFonts w:ascii="Times New Roman" w:hAnsi="Times New Roman" w:cs="Times New Roman"/>
          <w:lang w:val="fr-BE"/>
        </w:rPr>
        <w:t xml:space="preserve"> Art. 49 de la Charte des droits fondamentaux (Principes de légalité et de proportionna</w:t>
      </w:r>
      <w:r w:rsidRPr="004B2802">
        <w:rPr>
          <w:rFonts w:ascii="Times New Roman" w:hAnsi="Times New Roman" w:cs="Times New Roman"/>
          <w:lang w:val="fr-BE"/>
        </w:rPr>
        <w:t>lité des délits et des peines). Principe repris par la C</w:t>
      </w:r>
      <w:r w:rsidRPr="00D57884">
        <w:rPr>
          <w:rFonts w:ascii="Times New Roman" w:hAnsi="Times New Roman" w:cs="Times New Roman"/>
          <w:lang w:val="fr-BE"/>
        </w:rPr>
        <w:t xml:space="preserve">our dans l’arrêt Berlusconi </w:t>
      </w:r>
      <w:proofErr w:type="spellStart"/>
      <w:r w:rsidRPr="00D57884">
        <w:rPr>
          <w:rFonts w:ascii="Times New Roman" w:hAnsi="Times New Roman" w:cs="Times New Roman"/>
          <w:lang w:val="fr-BE"/>
        </w:rPr>
        <w:t>e.a</w:t>
      </w:r>
      <w:proofErr w:type="spellEnd"/>
      <w:r w:rsidRPr="005670A4">
        <w:rPr>
          <w:rFonts w:ascii="Times New Roman" w:hAnsi="Times New Roman" w:cs="Times New Roman"/>
          <w:lang w:val="fr-BE"/>
        </w:rPr>
        <w:t>, C-387/02, C-391/02 et C/403/02, EU:C:2005:270</w:t>
      </w:r>
      <w:r w:rsidR="00F61192">
        <w:rPr>
          <w:rFonts w:ascii="Times New Roman" w:hAnsi="Times New Roman" w:cs="Times New Roman"/>
          <w:lang w:val="fr-BE"/>
        </w:rPr>
        <w:t>,</w:t>
      </w:r>
      <w:r w:rsidRPr="005670A4">
        <w:rPr>
          <w:rFonts w:ascii="Times New Roman" w:hAnsi="Times New Roman" w:cs="Times New Roman"/>
          <w:lang w:val="fr-BE"/>
        </w:rPr>
        <w:t xml:space="preserve"> points 66, 68, 70.</w:t>
      </w:r>
    </w:p>
  </w:footnote>
  <w:footnote w:id="23">
    <w:p w14:paraId="0D944E19" w14:textId="0989B952" w:rsidR="00661A55" w:rsidRPr="005670A4" w:rsidRDefault="00661A55" w:rsidP="00D8699A">
      <w:pPr>
        <w:pStyle w:val="Notedebasdepage"/>
        <w:jc w:val="both"/>
        <w:rPr>
          <w:rFonts w:ascii="Times New Roman" w:hAnsi="Times New Roman" w:cs="Times New Roman"/>
          <w:lang w:val="fr-BE"/>
        </w:rPr>
      </w:pPr>
      <w:r w:rsidRPr="00D327FE">
        <w:rPr>
          <w:rStyle w:val="Appelnotedebasdep"/>
          <w:rFonts w:ascii="Times New Roman" w:hAnsi="Times New Roman" w:cs="Times New Roman"/>
          <w:lang w:val="fr-BE"/>
        </w:rPr>
        <w:footnoteRef/>
      </w:r>
      <w:r w:rsidRPr="00D327FE">
        <w:rPr>
          <w:rFonts w:ascii="Times New Roman" w:hAnsi="Times New Roman" w:cs="Times New Roman"/>
          <w:lang w:val="fr-BE"/>
        </w:rPr>
        <w:t xml:space="preserve"> Voir par ex</w:t>
      </w:r>
      <w:r w:rsidRPr="004B2802">
        <w:rPr>
          <w:rFonts w:ascii="Times New Roman" w:hAnsi="Times New Roman" w:cs="Times New Roman"/>
          <w:lang w:val="fr-BE"/>
        </w:rPr>
        <w:t xml:space="preserve">emple, l’arrêt </w:t>
      </w:r>
      <w:proofErr w:type="spellStart"/>
      <w:r w:rsidRPr="004B2802">
        <w:rPr>
          <w:rFonts w:ascii="Times New Roman" w:hAnsi="Times New Roman" w:cs="Times New Roman"/>
          <w:lang w:val="fr-BE"/>
        </w:rPr>
        <w:t>Unión</w:t>
      </w:r>
      <w:proofErr w:type="spellEnd"/>
      <w:r w:rsidRPr="004B2802">
        <w:rPr>
          <w:rFonts w:ascii="Times New Roman" w:hAnsi="Times New Roman" w:cs="Times New Roman"/>
          <w:lang w:val="fr-BE"/>
        </w:rPr>
        <w:t xml:space="preserve"> de </w:t>
      </w:r>
      <w:proofErr w:type="spellStart"/>
      <w:r w:rsidRPr="004B2802">
        <w:rPr>
          <w:rFonts w:ascii="Times New Roman" w:hAnsi="Times New Roman" w:cs="Times New Roman"/>
          <w:lang w:val="fr-BE"/>
        </w:rPr>
        <w:t>Pequeñ</w:t>
      </w:r>
      <w:r w:rsidRPr="00D57884">
        <w:rPr>
          <w:rFonts w:ascii="Times New Roman" w:hAnsi="Times New Roman" w:cs="Times New Roman"/>
          <w:lang w:val="fr-BE"/>
        </w:rPr>
        <w:t>os</w:t>
      </w:r>
      <w:proofErr w:type="spellEnd"/>
      <w:r w:rsidRPr="00D57884">
        <w:rPr>
          <w:rFonts w:ascii="Times New Roman" w:hAnsi="Times New Roman" w:cs="Times New Roman"/>
          <w:lang w:val="fr-BE"/>
        </w:rPr>
        <w:t xml:space="preserve"> </w:t>
      </w:r>
      <w:proofErr w:type="spellStart"/>
      <w:r w:rsidRPr="00D57884">
        <w:rPr>
          <w:rFonts w:ascii="Times New Roman" w:hAnsi="Times New Roman" w:cs="Times New Roman"/>
          <w:lang w:val="fr-BE"/>
        </w:rPr>
        <w:t>Agricultores</w:t>
      </w:r>
      <w:proofErr w:type="spellEnd"/>
      <w:r w:rsidRPr="00D57884">
        <w:rPr>
          <w:rFonts w:ascii="Times New Roman" w:hAnsi="Times New Roman" w:cs="Times New Roman"/>
          <w:lang w:val="fr-BE"/>
        </w:rPr>
        <w:t xml:space="preserve"> c. Conseil, C-50/00, EU:2002:462 </w:t>
      </w:r>
      <w:r w:rsidR="00F61192">
        <w:rPr>
          <w:rFonts w:ascii="Times New Roman" w:hAnsi="Times New Roman" w:cs="Times New Roman"/>
          <w:lang w:val="fr-BE"/>
        </w:rPr>
        <w:t>,</w:t>
      </w:r>
      <w:r w:rsidRPr="00D57884">
        <w:rPr>
          <w:rFonts w:ascii="Times New Roman" w:hAnsi="Times New Roman" w:cs="Times New Roman"/>
          <w:lang w:val="fr-BE"/>
        </w:rPr>
        <w:t xml:space="preserve"> point 3</w:t>
      </w:r>
      <w:r w:rsidRPr="005670A4">
        <w:rPr>
          <w:rFonts w:ascii="Times New Roman" w:hAnsi="Times New Roman" w:cs="Times New Roman"/>
          <w:lang w:val="fr-BE"/>
        </w:rPr>
        <w:t>9.</w:t>
      </w:r>
    </w:p>
  </w:footnote>
  <w:footnote w:id="24">
    <w:p w14:paraId="7C952A99" w14:textId="03972335" w:rsidR="00661A55" w:rsidRPr="005670A4" w:rsidRDefault="00661A55" w:rsidP="00D8699A">
      <w:pPr>
        <w:pStyle w:val="Notedebasdepage"/>
        <w:jc w:val="both"/>
        <w:rPr>
          <w:rFonts w:ascii="Times New Roman" w:hAnsi="Times New Roman" w:cs="Times New Roman"/>
          <w:lang w:val="de-DE"/>
        </w:rPr>
      </w:pPr>
      <w:r w:rsidRPr="00D327FE">
        <w:rPr>
          <w:rStyle w:val="Appelnotedebasdep"/>
          <w:rFonts w:ascii="Times New Roman" w:hAnsi="Times New Roman" w:cs="Times New Roman"/>
          <w:lang w:val="fr-BE"/>
        </w:rPr>
        <w:footnoteRef/>
      </w:r>
      <w:r w:rsidRPr="00D327FE">
        <w:rPr>
          <w:rFonts w:ascii="Times New Roman" w:hAnsi="Times New Roman" w:cs="Times New Roman"/>
          <w:lang w:val="fr-BE"/>
        </w:rPr>
        <w:t xml:space="preserve"> Rappelée et renforcée dans l‘arrêt Inuit </w:t>
      </w:r>
      <w:proofErr w:type="spellStart"/>
      <w:r w:rsidRPr="00D327FE">
        <w:rPr>
          <w:rFonts w:ascii="Times New Roman" w:hAnsi="Times New Roman" w:cs="Times New Roman"/>
          <w:lang w:val="fr-BE"/>
        </w:rPr>
        <w:t>Tapiriit</w:t>
      </w:r>
      <w:proofErr w:type="spellEnd"/>
      <w:r w:rsidRPr="00D327FE">
        <w:rPr>
          <w:rFonts w:ascii="Times New Roman" w:hAnsi="Times New Roman" w:cs="Times New Roman"/>
          <w:lang w:val="fr-BE"/>
        </w:rPr>
        <w:t xml:space="preserve"> </w:t>
      </w:r>
      <w:proofErr w:type="spellStart"/>
      <w:r w:rsidRPr="00D327FE">
        <w:rPr>
          <w:rFonts w:ascii="Times New Roman" w:hAnsi="Times New Roman" w:cs="Times New Roman"/>
          <w:lang w:val="fr-BE"/>
        </w:rPr>
        <w:t>Kanatami</w:t>
      </w:r>
      <w:proofErr w:type="spellEnd"/>
      <w:r w:rsidRPr="00D327FE">
        <w:rPr>
          <w:rFonts w:ascii="Times New Roman" w:hAnsi="Times New Roman" w:cs="Times New Roman"/>
          <w:lang w:val="fr-BE"/>
        </w:rPr>
        <w:t xml:space="preserve"> </w:t>
      </w:r>
      <w:proofErr w:type="spellStart"/>
      <w:r w:rsidRPr="00D327FE">
        <w:rPr>
          <w:rFonts w:ascii="Times New Roman" w:hAnsi="Times New Roman" w:cs="Times New Roman"/>
          <w:lang w:val="fr-BE"/>
        </w:rPr>
        <w:t>u.a</w:t>
      </w:r>
      <w:proofErr w:type="spellEnd"/>
      <w:r w:rsidRPr="00D327FE">
        <w:rPr>
          <w:rFonts w:ascii="Times New Roman" w:hAnsi="Times New Roman" w:cs="Times New Roman"/>
          <w:lang w:val="fr-BE"/>
        </w:rPr>
        <w:t>./Parlement et Conseil, C</w:t>
      </w:r>
      <w:r w:rsidRPr="00D327FE">
        <w:rPr>
          <w:rFonts w:ascii="Times New Roman" w:hAnsi="Times New Roman" w:cs="Times New Roman"/>
          <w:lang w:val="fr-BE"/>
        </w:rPr>
        <w:noBreakHyphen/>
        <w:t>583/11 P, EU:C:2013:625</w:t>
      </w:r>
      <w:r w:rsidR="00F61192">
        <w:rPr>
          <w:rFonts w:ascii="Times New Roman" w:hAnsi="Times New Roman" w:cs="Times New Roman"/>
          <w:lang w:val="fr-BE"/>
        </w:rPr>
        <w:t>,</w:t>
      </w:r>
      <w:r w:rsidRPr="00D327FE">
        <w:rPr>
          <w:rFonts w:ascii="Times New Roman" w:hAnsi="Times New Roman" w:cs="Times New Roman"/>
          <w:lang w:val="fr-BE"/>
        </w:rPr>
        <w:t xml:space="preserve"> point 101.</w:t>
      </w:r>
    </w:p>
  </w:footnote>
  <w:footnote w:id="25">
    <w:p w14:paraId="62180391" w14:textId="5D430B94"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rPr>
        <w:footnoteRef/>
      </w:r>
      <w:r w:rsidRPr="00D8699A">
        <w:rPr>
          <w:rFonts w:ascii="Times New Roman" w:hAnsi="Times New Roman" w:cs="Times New Roman"/>
          <w:lang w:val="fr-BE"/>
        </w:rPr>
        <w:t xml:space="preserve"> Potvin-</w:t>
      </w:r>
      <w:proofErr w:type="spellStart"/>
      <w:r w:rsidRPr="00D8699A">
        <w:rPr>
          <w:rFonts w:ascii="Times New Roman" w:hAnsi="Times New Roman" w:cs="Times New Roman"/>
          <w:lang w:val="fr-BE"/>
        </w:rPr>
        <w:t>Solis</w:t>
      </w:r>
      <w:proofErr w:type="spellEnd"/>
      <w:r w:rsidRPr="00D8699A">
        <w:rPr>
          <w:rFonts w:ascii="Times New Roman" w:hAnsi="Times New Roman" w:cs="Times New Roman"/>
          <w:lang w:val="fr-BE"/>
        </w:rPr>
        <w:t xml:space="preserve"> Laurence, « Valeurs Communes et citoyenneté européenne : quels progrès de l’identité de l’Union devant la Cour de Justice ? », dans « Les valeurs communes dans l’Union européenne », </w:t>
      </w:r>
      <w:proofErr w:type="spellStart"/>
      <w:r w:rsidRPr="00D8699A">
        <w:rPr>
          <w:rFonts w:ascii="Times New Roman" w:hAnsi="Times New Roman" w:cs="Times New Roman"/>
          <w:lang w:val="fr-BE"/>
        </w:rPr>
        <w:t>Bruylant</w:t>
      </w:r>
      <w:proofErr w:type="spellEnd"/>
      <w:r w:rsidRPr="00D8699A">
        <w:rPr>
          <w:rFonts w:ascii="Times New Roman" w:hAnsi="Times New Roman" w:cs="Times New Roman"/>
          <w:lang w:val="fr-BE"/>
        </w:rPr>
        <w:t xml:space="preserve">, p. 146. </w:t>
      </w:r>
    </w:p>
  </w:footnote>
  <w:footnote w:id="26">
    <w:p w14:paraId="437A94D5" w14:textId="6847E4DC"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rPr>
        <w:footnoteRef/>
      </w:r>
      <w:r w:rsidRPr="00D8699A">
        <w:rPr>
          <w:rFonts w:ascii="Times New Roman" w:hAnsi="Times New Roman" w:cs="Times New Roman"/>
          <w:lang w:val="fr-BE"/>
        </w:rPr>
        <w:t xml:space="preserve"> Voir, par exemple, les conclusions de l’avocat général Yves Bot par rapport à l’a</w:t>
      </w:r>
      <w:r>
        <w:rPr>
          <w:rFonts w:ascii="Times New Roman" w:hAnsi="Times New Roman" w:cs="Times New Roman"/>
          <w:lang w:val="fr-BE"/>
        </w:rPr>
        <w:t>rrêt Parlement contre Conseil</w:t>
      </w:r>
      <w:r w:rsidR="00F61192">
        <w:rPr>
          <w:rFonts w:ascii="Times New Roman" w:hAnsi="Times New Roman" w:cs="Times New Roman"/>
          <w:lang w:val="fr-BE"/>
        </w:rPr>
        <w:t> :</w:t>
      </w:r>
      <w:r w:rsidRPr="00D8699A">
        <w:rPr>
          <w:rFonts w:ascii="Times New Roman" w:hAnsi="Times New Roman" w:cs="Times New Roman"/>
          <w:lang w:val="fr-BE"/>
        </w:rPr>
        <w:t xml:space="preserve"> </w:t>
      </w:r>
      <w:r w:rsidR="00F61192" w:rsidRPr="00D8699A">
        <w:rPr>
          <w:rFonts w:ascii="Times New Roman" w:hAnsi="Times New Roman" w:cs="Times New Roman"/>
          <w:i/>
          <w:lang w:val="fr-BE"/>
        </w:rPr>
        <w:t>«</w:t>
      </w:r>
      <w:r w:rsidRPr="00D8699A">
        <w:rPr>
          <w:rFonts w:ascii="Times New Roman" w:hAnsi="Times New Roman" w:cs="Times New Roman"/>
          <w:lang w:val="fr-BE"/>
        </w:rPr>
        <w:t xml:space="preserve"> </w:t>
      </w:r>
      <w:r w:rsidR="00F61192">
        <w:rPr>
          <w:rFonts w:ascii="Times New Roman" w:hAnsi="Times New Roman" w:cs="Times New Roman"/>
          <w:lang w:val="fr-BE"/>
        </w:rPr>
        <w:t>[</w:t>
      </w:r>
      <w:r w:rsidRPr="00D8699A">
        <w:rPr>
          <w:rFonts w:ascii="Times New Roman" w:hAnsi="Times New Roman" w:cs="Times New Roman"/>
          <w:lang w:val="fr-BE"/>
        </w:rPr>
        <w:t>le terrorisme</w:t>
      </w:r>
      <w:r w:rsidR="00F61192">
        <w:rPr>
          <w:rFonts w:ascii="Times New Roman" w:hAnsi="Times New Roman" w:cs="Times New Roman"/>
          <w:lang w:val="fr-BE"/>
        </w:rPr>
        <w:t>],</w:t>
      </w:r>
      <w:r w:rsidRPr="00D8699A">
        <w:rPr>
          <w:rFonts w:ascii="Times New Roman" w:hAnsi="Times New Roman" w:cs="Times New Roman"/>
          <w:lang w:val="fr-BE"/>
        </w:rPr>
        <w:t xml:space="preserve"> </w:t>
      </w:r>
      <w:r w:rsidRPr="00D8699A">
        <w:rPr>
          <w:rFonts w:ascii="Times New Roman" w:hAnsi="Times New Roman" w:cs="Times New Roman"/>
          <w:i/>
          <w:lang w:val="fr-BE"/>
        </w:rPr>
        <w:t>en s’attaquant à des valeurs communes et aux fondements mêmes de l’état de droit, concerne l’ensemble de la communauté internationale, quelle que soit la portée géographique de la menace</w:t>
      </w:r>
      <w:r w:rsidRPr="00D8699A">
        <w:rPr>
          <w:rFonts w:ascii="Times New Roman" w:hAnsi="Times New Roman" w:cs="Times New Roman"/>
          <w:lang w:val="fr-BE"/>
        </w:rPr>
        <w:t> »</w:t>
      </w:r>
      <w:r>
        <w:rPr>
          <w:rFonts w:ascii="Times New Roman" w:hAnsi="Times New Roman" w:cs="Times New Roman"/>
          <w:lang w:val="fr-BE"/>
        </w:rPr>
        <w:t xml:space="preserve">. Conclusions du 31 janvier 2012, sur l’affaire Parlement contre Conseil, C-130/10, </w:t>
      </w:r>
      <w:r w:rsidRPr="00D8699A">
        <w:rPr>
          <w:rFonts w:ascii="Times New Roman" w:hAnsi="Times New Roman" w:cs="Times New Roman"/>
          <w:lang w:val="fr-BE"/>
        </w:rPr>
        <w:t>EU:C:2012:472</w:t>
      </w:r>
      <w:r>
        <w:rPr>
          <w:rFonts w:ascii="Times New Roman" w:hAnsi="Times New Roman" w:cs="Times New Roman"/>
          <w:lang w:val="fr-BE"/>
        </w:rPr>
        <w:t>, point 75.</w:t>
      </w:r>
    </w:p>
  </w:footnote>
  <w:footnote w:id="27">
    <w:p w14:paraId="41D0B98D" w14:textId="77777777" w:rsidR="00661A55" w:rsidRPr="00D8699A" w:rsidRDefault="00661A55" w:rsidP="008F2307">
      <w:pPr>
        <w:pStyle w:val="Notedebasdepage"/>
        <w:jc w:val="both"/>
        <w:rPr>
          <w:rFonts w:ascii="Times New Roman" w:hAnsi="Times New Roman" w:cs="Times New Roman"/>
          <w:lang w:val="fr-BE"/>
        </w:rPr>
      </w:pPr>
      <w:r w:rsidRPr="00D8699A">
        <w:rPr>
          <w:rStyle w:val="Appelnotedebasdep"/>
          <w:rFonts w:ascii="Times New Roman" w:hAnsi="Times New Roman" w:cs="Times New Roman"/>
          <w:lang w:val="fr-BE"/>
        </w:rPr>
        <w:footnoteRef/>
      </w:r>
      <w:r w:rsidRPr="00D8699A">
        <w:rPr>
          <w:rFonts w:ascii="Times New Roman" w:hAnsi="Times New Roman" w:cs="Times New Roman"/>
          <w:lang w:val="fr-BE"/>
        </w:rPr>
        <w:t xml:space="preserve"> Communication de la Commission au Parlement européen et au Conseil – Un nouveau cadre de l’UE pour renforcer l’Etat de droit, COM(2014) 158 final. Cette communication a notamment été préparée par le biais d’un document discuté lors des „Assises de la Justice“ qui se sont déroulées les 21 et 22 novembre 2013 à Bruxelles (http://ec.europa.eu/justice/events/assises-justice-2013/files/rule_of_law_fr.pdf).</w:t>
      </w:r>
    </w:p>
  </w:footnote>
  <w:footnote w:id="28">
    <w:p w14:paraId="4F47AF13" w14:textId="1E7B07DF"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rPr>
        <w:footnoteRef/>
      </w:r>
      <w:r w:rsidRPr="00D8699A">
        <w:rPr>
          <w:rFonts w:ascii="Times New Roman" w:hAnsi="Times New Roman" w:cs="Times New Roman"/>
          <w:lang w:val="fr-BE"/>
        </w:rPr>
        <w:t xml:space="preserve"> Même si des progrès ont été faits par l’attribution de plus de compétences à l’Union européenne, notamment avec l’utilisation des principes généraux par la Cour, la répartition des compétences dans les dispositions liminaires du TFUE et la consécration des principes des compétences d’attribution, de la préemption, de subsidiarité, de proportionnalité et de loyauté communautaire ; voir Simon, Denys, « État de droit et compétences de l’Union européenne », Construction européenne et État de droit, 2012, p. 34</w:t>
      </w:r>
    </w:p>
  </w:footnote>
  <w:footnote w:id="29">
    <w:p w14:paraId="4B416B52" w14:textId="77777777"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rPr>
        <w:footnoteRef/>
      </w:r>
      <w:r w:rsidRPr="00D8699A">
        <w:rPr>
          <w:rFonts w:ascii="Times New Roman" w:hAnsi="Times New Roman" w:cs="Times New Roman"/>
          <w:lang w:val="fr-BE"/>
        </w:rPr>
        <w:t xml:space="preserve"> Quatre cinquième de ses membres.</w:t>
      </w:r>
    </w:p>
  </w:footnote>
  <w:footnote w:id="30">
    <w:p w14:paraId="27BF0A7F" w14:textId="77777777"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rPr>
        <w:footnoteRef/>
      </w:r>
      <w:r w:rsidRPr="00D8699A">
        <w:rPr>
          <w:rFonts w:ascii="Times New Roman" w:hAnsi="Times New Roman" w:cs="Times New Roman"/>
          <w:lang w:val="fr-BE"/>
        </w:rPr>
        <w:t xml:space="preserve"> Premier paragraphe de l’article 7 du traité sur l’Union européenne.</w:t>
      </w:r>
    </w:p>
  </w:footnote>
  <w:footnote w:id="31">
    <w:p w14:paraId="67027E94" w14:textId="77777777"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rPr>
        <w:footnoteRef/>
      </w:r>
      <w:r w:rsidRPr="00D8699A">
        <w:rPr>
          <w:rFonts w:ascii="Times New Roman" w:hAnsi="Times New Roman" w:cs="Times New Roman"/>
          <w:lang w:val="fr-BE"/>
        </w:rPr>
        <w:t xml:space="preserve"> Deuxième paragraphe de l’article 7 du traité sur l’Union européenne.</w:t>
      </w:r>
    </w:p>
  </w:footnote>
  <w:footnote w:id="32">
    <w:p w14:paraId="65BEE8CD" w14:textId="77777777" w:rsidR="00661A55" w:rsidRPr="00321ECB" w:rsidRDefault="00661A55" w:rsidP="00D8699A">
      <w:pPr>
        <w:pStyle w:val="Notedebasdepage"/>
        <w:jc w:val="both"/>
        <w:rPr>
          <w:lang w:val="fr-BE"/>
        </w:rPr>
      </w:pPr>
      <w:r w:rsidRPr="00D8699A">
        <w:rPr>
          <w:rStyle w:val="Appelnotedebasdep"/>
          <w:rFonts w:ascii="Times New Roman" w:hAnsi="Times New Roman" w:cs="Times New Roman"/>
        </w:rPr>
        <w:footnoteRef/>
      </w:r>
      <w:r w:rsidRPr="00D8699A">
        <w:rPr>
          <w:rFonts w:ascii="Times New Roman" w:hAnsi="Times New Roman" w:cs="Times New Roman"/>
          <w:lang w:val="fr-BE"/>
        </w:rPr>
        <w:t xml:space="preserve"> Troisième paragraphe de l’article 7 du traité sur l’Union européenne.</w:t>
      </w:r>
    </w:p>
  </w:footnote>
  <w:footnote w:id="33">
    <w:p w14:paraId="71B6C2F6" w14:textId="65F0B970" w:rsidR="00D57884" w:rsidRPr="005670A4" w:rsidRDefault="00D57884" w:rsidP="005670A4">
      <w:pPr>
        <w:pStyle w:val="Notedebasdepage"/>
        <w:jc w:val="both"/>
        <w:rPr>
          <w:rFonts w:ascii="Times New Roman" w:hAnsi="Times New Roman" w:cs="Times New Roman"/>
          <w:lang w:val="fr-BE"/>
        </w:rPr>
      </w:pPr>
      <w:r>
        <w:rPr>
          <w:rStyle w:val="Appelnotedebasdep"/>
        </w:rPr>
        <w:footnoteRef/>
      </w:r>
      <w:r w:rsidRPr="005670A4">
        <w:rPr>
          <w:lang w:val="fr-BE"/>
        </w:rPr>
        <w:t xml:space="preserve"> </w:t>
      </w:r>
      <w:r w:rsidR="0042741D" w:rsidRPr="00D8699A">
        <w:rPr>
          <w:rFonts w:ascii="Times New Roman" w:hAnsi="Times New Roman" w:cs="Times New Roman"/>
          <w:lang w:val="fr-BE"/>
        </w:rPr>
        <w:t xml:space="preserve">Pour une analyse critique de cette communication, voir l’étude réalisée par la Fondation Robert Schuman, « Renforcer le respect </w:t>
      </w:r>
      <w:r w:rsidR="0042741D" w:rsidRPr="00E70E67">
        <w:rPr>
          <w:rFonts w:ascii="Times New Roman" w:hAnsi="Times New Roman" w:cs="Times New Roman"/>
          <w:lang w:val="fr-BE"/>
        </w:rPr>
        <w:t>de l’</w:t>
      </w:r>
      <w:r w:rsidR="0042741D" w:rsidRPr="009C0C7B">
        <w:rPr>
          <w:rFonts w:ascii="Times New Roman" w:hAnsi="Times New Roman" w:cs="Times New Roman"/>
          <w:lang w:val="fr-BE"/>
        </w:rPr>
        <w:t xml:space="preserve">État de droit dans l’UE : Regards critiques sur les nouveaux mécanismes proposés par la Commission et le Conseil », 11.05.2015, </w:t>
      </w:r>
      <w:hyperlink r:id="rId10" w:history="1">
        <w:r w:rsidR="0042741D" w:rsidRPr="009C0C7B">
          <w:rPr>
            <w:rStyle w:val="Lienhypertexte"/>
            <w:rFonts w:ascii="Times New Roman" w:hAnsi="Times New Roman" w:cs="Times New Roman"/>
            <w:lang w:val="fr-BE"/>
          </w:rPr>
          <w:t>http://www.robert-schuman.eu/fr/questions-d-europe/0356-renforcer-le-respect-de-l-etat-de-droit-dans-l-ue-regards-critiques-sur-les-nouveaux</w:t>
        </w:r>
      </w:hyperlink>
      <w:r w:rsidR="0042741D">
        <w:rPr>
          <w:rFonts w:ascii="Times New Roman" w:hAnsi="Times New Roman" w:cs="Times New Roman"/>
          <w:lang w:val="fr-BE"/>
        </w:rPr>
        <w:t xml:space="preserve">. </w:t>
      </w:r>
    </w:p>
  </w:footnote>
  <w:footnote w:id="34">
    <w:p w14:paraId="67F5F608" w14:textId="014A22FC" w:rsidR="00661A55" w:rsidRPr="00D8699A" w:rsidRDefault="00661A55" w:rsidP="00D8699A">
      <w:pPr>
        <w:pStyle w:val="Notedebasdepage"/>
        <w:jc w:val="both"/>
        <w:rPr>
          <w:rFonts w:ascii="Times New Roman" w:hAnsi="Times New Roman" w:cs="Times New Roman"/>
          <w:lang w:val="fr-BE"/>
        </w:rPr>
      </w:pPr>
      <w:r w:rsidRPr="00D8699A">
        <w:rPr>
          <w:rStyle w:val="Appelnotedebasdep"/>
          <w:rFonts w:ascii="Times New Roman" w:hAnsi="Times New Roman" w:cs="Times New Roman"/>
        </w:rPr>
        <w:footnoteRef/>
      </w:r>
      <w:r w:rsidRPr="00D8699A">
        <w:rPr>
          <w:rFonts w:ascii="Times New Roman" w:hAnsi="Times New Roman" w:cs="Times New Roman"/>
          <w:lang w:val="fr-BE"/>
        </w:rPr>
        <w:t xml:space="preserve"> Arrêt </w:t>
      </w:r>
      <w:hyperlink r:id="rId11" w:history="1">
        <w:proofErr w:type="spellStart"/>
        <w:r w:rsidRPr="00D8699A">
          <w:rPr>
            <w:rStyle w:val="Lienhypertexte"/>
            <w:rFonts w:ascii="Times New Roman" w:hAnsi="Times New Roman" w:cs="Times New Roman"/>
            <w:lang w:val="fr-BE"/>
          </w:rPr>
          <w:t>Alassini</w:t>
        </w:r>
        <w:proofErr w:type="spellEnd"/>
        <w:r w:rsidRPr="00D8699A">
          <w:rPr>
            <w:rStyle w:val="Lienhypertexte"/>
            <w:rFonts w:ascii="Times New Roman" w:hAnsi="Times New Roman" w:cs="Times New Roman"/>
            <w:lang w:val="fr-BE"/>
          </w:rPr>
          <w:t xml:space="preserve"> </w:t>
        </w:r>
        <w:proofErr w:type="spellStart"/>
        <w:r w:rsidRPr="00D8699A">
          <w:rPr>
            <w:rStyle w:val="Lienhypertexte"/>
            <w:rFonts w:ascii="Times New Roman" w:hAnsi="Times New Roman" w:cs="Times New Roman"/>
            <w:lang w:val="fr-BE"/>
          </w:rPr>
          <w:t>u.a</w:t>
        </w:r>
        <w:proofErr w:type="spellEnd"/>
        <w:r w:rsidRPr="00D8699A">
          <w:rPr>
            <w:rStyle w:val="Lienhypertexte"/>
            <w:rFonts w:ascii="Times New Roman" w:hAnsi="Times New Roman" w:cs="Times New Roman"/>
            <w:lang w:val="fr-BE"/>
          </w:rPr>
          <w:t>.</w:t>
        </w:r>
      </w:hyperlink>
      <w:r w:rsidRPr="00D8699A">
        <w:rPr>
          <w:rFonts w:ascii="Times New Roman" w:hAnsi="Times New Roman" w:cs="Times New Roman"/>
          <w:lang w:val="fr-BE"/>
        </w:rPr>
        <w:t>, C</w:t>
      </w:r>
      <w:r w:rsidRPr="00D8699A">
        <w:rPr>
          <w:rFonts w:ascii="Times New Roman" w:hAnsi="Times New Roman" w:cs="Times New Roman"/>
          <w:lang w:val="fr-BE"/>
        </w:rPr>
        <w:noBreakHyphen/>
        <w:t>317/08 à C</w:t>
      </w:r>
      <w:r w:rsidRPr="00D8699A">
        <w:rPr>
          <w:rFonts w:ascii="Times New Roman" w:hAnsi="Times New Roman" w:cs="Times New Roman"/>
          <w:lang w:val="fr-BE"/>
        </w:rPr>
        <w:noBreakHyphen/>
        <w:t>320/08, EU:C:2010:146</w:t>
      </w:r>
      <w:r w:rsidR="00F61192">
        <w:rPr>
          <w:rFonts w:ascii="Times New Roman" w:hAnsi="Times New Roman" w:cs="Times New Roman"/>
          <w:lang w:val="fr-BE"/>
        </w:rPr>
        <w:t>,</w:t>
      </w:r>
      <w:r w:rsidRPr="00D8699A">
        <w:rPr>
          <w:rFonts w:ascii="Times New Roman" w:hAnsi="Times New Roman" w:cs="Times New Roman"/>
          <w:lang w:val="fr-BE"/>
        </w:rPr>
        <w:t xml:space="preserve"> point 40; arrêt </w:t>
      </w:r>
      <w:hyperlink r:id="rId12" w:history="1">
        <w:r w:rsidRPr="00D8699A">
          <w:rPr>
            <w:rStyle w:val="Lienhypertexte"/>
            <w:rFonts w:ascii="Times New Roman" w:hAnsi="Times New Roman" w:cs="Times New Roman"/>
            <w:lang w:val="fr-BE"/>
          </w:rPr>
          <w:t>Grimaldi</w:t>
        </w:r>
      </w:hyperlink>
      <w:r w:rsidRPr="00D8699A">
        <w:rPr>
          <w:rFonts w:ascii="Times New Roman" w:hAnsi="Times New Roman" w:cs="Times New Roman"/>
          <w:lang w:val="fr-BE"/>
        </w:rPr>
        <w:t>, C</w:t>
      </w:r>
      <w:r w:rsidRPr="00D8699A">
        <w:rPr>
          <w:rFonts w:ascii="Times New Roman" w:hAnsi="Times New Roman" w:cs="Times New Roman"/>
          <w:lang w:val="fr-BE"/>
        </w:rPr>
        <w:noBreakHyphen/>
        <w:t>322/88, EU:C:1989:646</w:t>
      </w:r>
      <w:r w:rsidR="00F61192">
        <w:rPr>
          <w:rFonts w:ascii="Times New Roman" w:hAnsi="Times New Roman" w:cs="Times New Roman"/>
          <w:lang w:val="fr-BE"/>
        </w:rPr>
        <w:t>,</w:t>
      </w:r>
      <w:r w:rsidRPr="00D8699A">
        <w:rPr>
          <w:rFonts w:ascii="Times New Roman" w:hAnsi="Times New Roman" w:cs="Times New Roman"/>
          <w:lang w:val="fr-BE"/>
        </w:rPr>
        <w:t xml:space="preserve"> points 7, 16 et 18;  arrêt </w:t>
      </w:r>
      <w:hyperlink r:id="rId13" w:history="1">
        <w:proofErr w:type="spellStart"/>
        <w:r w:rsidRPr="00D8699A">
          <w:rPr>
            <w:rStyle w:val="Lienhypertexte"/>
            <w:rFonts w:ascii="Times New Roman" w:hAnsi="Times New Roman" w:cs="Times New Roman"/>
            <w:lang w:val="fr-BE"/>
          </w:rPr>
          <w:t>Altair</w:t>
        </w:r>
        <w:proofErr w:type="spellEnd"/>
        <w:r w:rsidRPr="00D8699A">
          <w:rPr>
            <w:rStyle w:val="Lienhypertexte"/>
            <w:rFonts w:ascii="Times New Roman" w:hAnsi="Times New Roman" w:cs="Times New Roman"/>
            <w:lang w:val="fr-BE"/>
          </w:rPr>
          <w:t xml:space="preserve"> </w:t>
        </w:r>
        <w:proofErr w:type="spellStart"/>
        <w:r w:rsidRPr="00D8699A">
          <w:rPr>
            <w:rStyle w:val="Lienhypertexte"/>
            <w:rFonts w:ascii="Times New Roman" w:hAnsi="Times New Roman" w:cs="Times New Roman"/>
            <w:lang w:val="fr-BE"/>
          </w:rPr>
          <w:t>Chimica</w:t>
        </w:r>
        <w:proofErr w:type="spellEnd"/>
      </w:hyperlink>
      <w:r w:rsidRPr="00D8699A">
        <w:rPr>
          <w:rFonts w:ascii="Times New Roman" w:hAnsi="Times New Roman" w:cs="Times New Roman"/>
          <w:lang w:val="fr-BE"/>
        </w:rPr>
        <w:t>, C</w:t>
      </w:r>
      <w:r w:rsidRPr="00D8699A">
        <w:rPr>
          <w:rFonts w:ascii="Times New Roman" w:hAnsi="Times New Roman" w:cs="Times New Roman"/>
          <w:lang w:val="fr-BE"/>
        </w:rPr>
        <w:noBreakHyphen/>
        <w:t>207/01, EU:C:2003:451</w:t>
      </w:r>
      <w:r w:rsidR="00F61192">
        <w:rPr>
          <w:rFonts w:ascii="Times New Roman" w:hAnsi="Times New Roman" w:cs="Times New Roman"/>
          <w:lang w:val="fr-BE"/>
        </w:rPr>
        <w:t>,</w:t>
      </w:r>
      <w:r w:rsidRPr="00D8699A">
        <w:rPr>
          <w:rFonts w:ascii="Times New Roman" w:hAnsi="Times New Roman" w:cs="Times New Roman"/>
          <w:lang w:val="fr-BE"/>
        </w:rPr>
        <w:t xml:space="preserve"> point 41.</w:t>
      </w:r>
    </w:p>
  </w:footnote>
  <w:footnote w:id="35">
    <w:p w14:paraId="0B81656A" w14:textId="6CEB7CE4" w:rsidR="00661A55" w:rsidRPr="00212D31" w:rsidRDefault="00661A55" w:rsidP="00D8699A">
      <w:pPr>
        <w:pStyle w:val="Notedebasdepage"/>
        <w:jc w:val="both"/>
        <w:rPr>
          <w:rFonts w:ascii="Times New Roman" w:hAnsi="Times New Roman" w:cs="Times New Roman"/>
        </w:rPr>
      </w:pPr>
      <w:r w:rsidRPr="005670A4">
        <w:rPr>
          <w:rStyle w:val="Appelnotedebasdep"/>
          <w:rFonts w:ascii="Times New Roman" w:hAnsi="Times New Roman" w:cs="Times New Roman"/>
        </w:rPr>
        <w:footnoteRef/>
      </w:r>
      <w:r w:rsidRPr="005670A4">
        <w:rPr>
          <w:rFonts w:ascii="Times New Roman" w:hAnsi="Times New Roman" w:cs="Times New Roman"/>
          <w:lang w:val="fr-BE"/>
        </w:rPr>
        <w:t xml:space="preserve"> Rapport du Parlement européen du 16 juillet 2015 sur la situation des droits fondamentaux dans l’Union européenne (2013-2014) (2014/2254(INI)), Proposition de résolution du Parlement européen, points 8 – 11. </w:t>
      </w:r>
      <w:hyperlink r:id="rId14" w:history="1">
        <w:r w:rsidRPr="00212D31">
          <w:rPr>
            <w:rStyle w:val="Lienhypertexte"/>
            <w:rFonts w:ascii="Times New Roman" w:hAnsi="Times New Roman" w:cs="Times New Roman"/>
          </w:rPr>
          <w:t>http://www.europarl.europa.eu/sides/getDoc.do?type=REPORT&amp;reference=A8-2015-0230&amp;language=FR</w:t>
        </w:r>
      </w:hyperlink>
      <w:r w:rsidRPr="00212D31">
        <w:rPr>
          <w:rFonts w:ascii="Times New Roman" w:hAnsi="Times New Roman" w:cs="Times New Roman"/>
        </w:rPr>
        <w:t xml:space="preserve">  </w:t>
      </w:r>
    </w:p>
  </w:footnote>
  <w:footnote w:id="36">
    <w:p w14:paraId="6CF6E21F" w14:textId="77777777" w:rsidR="00661A55" w:rsidRPr="008836EA" w:rsidRDefault="00661A55" w:rsidP="00093E75">
      <w:pPr>
        <w:pStyle w:val="Notedebasdepage"/>
        <w:rPr>
          <w:i/>
          <w:lang w:val="fr-BE"/>
        </w:rPr>
      </w:pPr>
      <w:r>
        <w:rPr>
          <w:rStyle w:val="Appelnotedebasdep"/>
        </w:rPr>
        <w:footnoteRef/>
      </w:r>
      <w:r w:rsidRPr="008836EA">
        <w:rPr>
          <w:lang w:val="fr-BE"/>
        </w:rPr>
        <w:t xml:space="preserve"> </w:t>
      </w:r>
      <w:r>
        <w:rPr>
          <w:lang w:val="fr-BE"/>
        </w:rPr>
        <w:t xml:space="preserve">Arrêt </w:t>
      </w:r>
      <w:r>
        <w:rPr>
          <w:i/>
          <w:lang w:val="fr-BE"/>
        </w:rPr>
        <w:t xml:space="preserve">Digital </w:t>
      </w:r>
      <w:proofErr w:type="spellStart"/>
      <w:r>
        <w:rPr>
          <w:i/>
          <w:lang w:val="fr-BE"/>
        </w:rPr>
        <w:t>Rights</w:t>
      </w:r>
      <w:proofErr w:type="spellEnd"/>
      <w:r>
        <w:rPr>
          <w:i/>
          <w:lang w:val="fr-BE"/>
        </w:rPr>
        <w:t xml:space="preserve"> </w:t>
      </w:r>
      <w:r w:rsidRPr="00B93207">
        <w:rPr>
          <w:i/>
          <w:lang w:val="fr-BE"/>
        </w:rPr>
        <w:t xml:space="preserve">Ireland et </w:t>
      </w:r>
      <w:proofErr w:type="spellStart"/>
      <w:r w:rsidRPr="00B93207">
        <w:rPr>
          <w:i/>
          <w:lang w:val="fr-BE"/>
        </w:rPr>
        <w:t>Seitlinger</w:t>
      </w:r>
      <w:proofErr w:type="spellEnd"/>
      <w:r w:rsidRPr="00B93207">
        <w:rPr>
          <w:i/>
          <w:lang w:val="fr-BE"/>
        </w:rPr>
        <w:t xml:space="preserve">, </w:t>
      </w:r>
      <w:r w:rsidRPr="00B93207">
        <w:rPr>
          <w:lang w:val="fr-BE"/>
        </w:rPr>
        <w:t>C</w:t>
      </w:r>
      <w:r w:rsidRPr="00B93207">
        <w:rPr>
          <w:lang w:val="fr-BE"/>
        </w:rPr>
        <w:noBreakHyphen/>
        <w:t>293/12 et C</w:t>
      </w:r>
      <w:r w:rsidRPr="00B93207">
        <w:rPr>
          <w:lang w:val="fr-BE"/>
        </w:rPr>
        <w:noBreakHyphen/>
        <w:t xml:space="preserve">594/12, </w:t>
      </w:r>
      <w:r w:rsidRPr="00B93207">
        <w:rPr>
          <w:rFonts w:cs="Times"/>
          <w:color w:val="000000"/>
          <w:lang w:val="fr-FR"/>
        </w:rPr>
        <w:t>EU:C:2014:238</w:t>
      </w:r>
      <w:r>
        <w:rPr>
          <w:lang w:val="fr-B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20348" w14:textId="77777777" w:rsidR="00661A55" w:rsidRDefault="00661A55" w:rsidP="000D5C58">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6C15"/>
    <w:multiLevelType w:val="hybridMultilevel"/>
    <w:tmpl w:val="4DDECCBC"/>
    <w:lvl w:ilvl="0" w:tplc="AC9099CA">
      <w:start w:val="4"/>
      <w:numFmt w:val="bullet"/>
      <w:lvlText w:val=""/>
      <w:lvlJc w:val="left"/>
      <w:pPr>
        <w:ind w:left="720" w:hanging="360"/>
      </w:pPr>
      <w:rPr>
        <w:rFonts w:ascii="Symbol" w:eastAsiaTheme="minorEastAsia" w:hAnsi="Symbol" w:cstheme="minorBidi" w:hint="default"/>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abstractNum w:abstractNumId="1">
    <w:nsid w:val="4F110DA0"/>
    <w:multiLevelType w:val="hybridMultilevel"/>
    <w:tmpl w:val="BA0261A2"/>
    <w:lvl w:ilvl="0" w:tplc="1007000F">
      <w:start w:val="1"/>
      <w:numFmt w:val="decimal"/>
      <w:lvlText w:val="%1."/>
      <w:lvlJc w:val="left"/>
      <w:pPr>
        <w:ind w:left="720" w:hanging="360"/>
      </w:pPr>
      <w:rPr>
        <w:rFonts w:hint="default"/>
      </w:rPr>
    </w:lvl>
    <w:lvl w:ilvl="1" w:tplc="10070019" w:tentative="1">
      <w:start w:val="1"/>
      <w:numFmt w:val="lowerLetter"/>
      <w:lvlText w:val="%2."/>
      <w:lvlJc w:val="left"/>
      <w:pPr>
        <w:ind w:left="1440" w:hanging="360"/>
      </w:pPr>
    </w:lvl>
    <w:lvl w:ilvl="2" w:tplc="1007001B" w:tentative="1">
      <w:start w:val="1"/>
      <w:numFmt w:val="lowerRoman"/>
      <w:lvlText w:val="%3."/>
      <w:lvlJc w:val="right"/>
      <w:pPr>
        <w:ind w:left="2160" w:hanging="180"/>
      </w:pPr>
    </w:lvl>
    <w:lvl w:ilvl="3" w:tplc="1007000F" w:tentative="1">
      <w:start w:val="1"/>
      <w:numFmt w:val="decimal"/>
      <w:lvlText w:val="%4."/>
      <w:lvlJc w:val="left"/>
      <w:pPr>
        <w:ind w:left="2880" w:hanging="360"/>
      </w:pPr>
    </w:lvl>
    <w:lvl w:ilvl="4" w:tplc="10070019" w:tentative="1">
      <w:start w:val="1"/>
      <w:numFmt w:val="lowerLetter"/>
      <w:lvlText w:val="%5."/>
      <w:lvlJc w:val="left"/>
      <w:pPr>
        <w:ind w:left="3600" w:hanging="360"/>
      </w:pPr>
    </w:lvl>
    <w:lvl w:ilvl="5" w:tplc="1007001B" w:tentative="1">
      <w:start w:val="1"/>
      <w:numFmt w:val="lowerRoman"/>
      <w:lvlText w:val="%6."/>
      <w:lvlJc w:val="right"/>
      <w:pPr>
        <w:ind w:left="4320" w:hanging="180"/>
      </w:pPr>
    </w:lvl>
    <w:lvl w:ilvl="6" w:tplc="1007000F" w:tentative="1">
      <w:start w:val="1"/>
      <w:numFmt w:val="decimal"/>
      <w:lvlText w:val="%7."/>
      <w:lvlJc w:val="left"/>
      <w:pPr>
        <w:ind w:left="5040" w:hanging="360"/>
      </w:pPr>
    </w:lvl>
    <w:lvl w:ilvl="7" w:tplc="10070019" w:tentative="1">
      <w:start w:val="1"/>
      <w:numFmt w:val="lowerLetter"/>
      <w:lvlText w:val="%8."/>
      <w:lvlJc w:val="left"/>
      <w:pPr>
        <w:ind w:left="5760" w:hanging="360"/>
      </w:pPr>
    </w:lvl>
    <w:lvl w:ilvl="8" w:tplc="1007001B" w:tentative="1">
      <w:start w:val="1"/>
      <w:numFmt w:val="lowerRoman"/>
      <w:lvlText w:val="%9."/>
      <w:lvlJc w:val="right"/>
      <w:pPr>
        <w:ind w:left="6480" w:hanging="180"/>
      </w:pPr>
    </w:lvl>
  </w:abstractNum>
  <w:abstractNum w:abstractNumId="2">
    <w:nsid w:val="5F731640"/>
    <w:multiLevelType w:val="hybridMultilevel"/>
    <w:tmpl w:val="F1587616"/>
    <w:lvl w:ilvl="0" w:tplc="3DCE7F6C">
      <w:start w:val="4"/>
      <w:numFmt w:val="bullet"/>
      <w:lvlText w:val=""/>
      <w:lvlJc w:val="left"/>
      <w:pPr>
        <w:ind w:left="720" w:hanging="360"/>
      </w:pPr>
      <w:rPr>
        <w:rFonts w:ascii="Symbol" w:eastAsiaTheme="minorEastAsia" w:hAnsi="Symbol" w:cstheme="minorBidi" w:hint="default"/>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5B"/>
    <w:rsid w:val="00005696"/>
    <w:rsid w:val="000079B9"/>
    <w:rsid w:val="00016738"/>
    <w:rsid w:val="00021570"/>
    <w:rsid w:val="000371E0"/>
    <w:rsid w:val="00055B3A"/>
    <w:rsid w:val="0006441B"/>
    <w:rsid w:val="00075706"/>
    <w:rsid w:val="00075903"/>
    <w:rsid w:val="000808A5"/>
    <w:rsid w:val="00082080"/>
    <w:rsid w:val="00086905"/>
    <w:rsid w:val="00087443"/>
    <w:rsid w:val="00093E75"/>
    <w:rsid w:val="00096E90"/>
    <w:rsid w:val="000970AA"/>
    <w:rsid w:val="000A03B8"/>
    <w:rsid w:val="000A223C"/>
    <w:rsid w:val="000A66FD"/>
    <w:rsid w:val="000C09C4"/>
    <w:rsid w:val="000C5363"/>
    <w:rsid w:val="000D019B"/>
    <w:rsid w:val="000D3BD1"/>
    <w:rsid w:val="000D55D9"/>
    <w:rsid w:val="000D5C58"/>
    <w:rsid w:val="000E12DE"/>
    <w:rsid w:val="000E2DEE"/>
    <w:rsid w:val="000E71CD"/>
    <w:rsid w:val="000F1082"/>
    <w:rsid w:val="000F1F3C"/>
    <w:rsid w:val="00103EE4"/>
    <w:rsid w:val="0011000C"/>
    <w:rsid w:val="001212A5"/>
    <w:rsid w:val="00124938"/>
    <w:rsid w:val="00144B19"/>
    <w:rsid w:val="001466D7"/>
    <w:rsid w:val="00171129"/>
    <w:rsid w:val="00181B7C"/>
    <w:rsid w:val="001857E4"/>
    <w:rsid w:val="00190E10"/>
    <w:rsid w:val="001A1281"/>
    <w:rsid w:val="001A5A2D"/>
    <w:rsid w:val="001A75D3"/>
    <w:rsid w:val="001A7A03"/>
    <w:rsid w:val="001B2FB2"/>
    <w:rsid w:val="001C04BF"/>
    <w:rsid w:val="001C640E"/>
    <w:rsid w:val="001D62A9"/>
    <w:rsid w:val="001F2D09"/>
    <w:rsid w:val="001F453A"/>
    <w:rsid w:val="002009BF"/>
    <w:rsid w:val="0020397A"/>
    <w:rsid w:val="002053B6"/>
    <w:rsid w:val="00207801"/>
    <w:rsid w:val="00212D31"/>
    <w:rsid w:val="002149E5"/>
    <w:rsid w:val="00223B43"/>
    <w:rsid w:val="00232E06"/>
    <w:rsid w:val="002368F3"/>
    <w:rsid w:val="00240DED"/>
    <w:rsid w:val="002544A3"/>
    <w:rsid w:val="0025761F"/>
    <w:rsid w:val="002632EB"/>
    <w:rsid w:val="00267136"/>
    <w:rsid w:val="00290D80"/>
    <w:rsid w:val="0029145C"/>
    <w:rsid w:val="002977EC"/>
    <w:rsid w:val="002A03C8"/>
    <w:rsid w:val="002A2750"/>
    <w:rsid w:val="002A3C80"/>
    <w:rsid w:val="002B16FF"/>
    <w:rsid w:val="002B66CE"/>
    <w:rsid w:val="002C0EE2"/>
    <w:rsid w:val="002C23D5"/>
    <w:rsid w:val="002C2BDB"/>
    <w:rsid w:val="002C2CB1"/>
    <w:rsid w:val="002C4582"/>
    <w:rsid w:val="002C5010"/>
    <w:rsid w:val="002F6EC9"/>
    <w:rsid w:val="00300ECF"/>
    <w:rsid w:val="003052D3"/>
    <w:rsid w:val="00315534"/>
    <w:rsid w:val="003201EF"/>
    <w:rsid w:val="00324E09"/>
    <w:rsid w:val="00343B72"/>
    <w:rsid w:val="00345322"/>
    <w:rsid w:val="0037000E"/>
    <w:rsid w:val="003732D9"/>
    <w:rsid w:val="00373362"/>
    <w:rsid w:val="00376C6B"/>
    <w:rsid w:val="00376DF9"/>
    <w:rsid w:val="00383993"/>
    <w:rsid w:val="00387781"/>
    <w:rsid w:val="00391D11"/>
    <w:rsid w:val="003920A7"/>
    <w:rsid w:val="003965E5"/>
    <w:rsid w:val="00396608"/>
    <w:rsid w:val="003A5D7A"/>
    <w:rsid w:val="003C1598"/>
    <w:rsid w:val="003C26DC"/>
    <w:rsid w:val="003D0B16"/>
    <w:rsid w:val="003D190B"/>
    <w:rsid w:val="003D4778"/>
    <w:rsid w:val="003E481A"/>
    <w:rsid w:val="003F00F2"/>
    <w:rsid w:val="003F0B93"/>
    <w:rsid w:val="003F2C97"/>
    <w:rsid w:val="003F731D"/>
    <w:rsid w:val="00405059"/>
    <w:rsid w:val="00412944"/>
    <w:rsid w:val="00422339"/>
    <w:rsid w:val="00424C5C"/>
    <w:rsid w:val="0042741D"/>
    <w:rsid w:val="00445641"/>
    <w:rsid w:val="00447141"/>
    <w:rsid w:val="00450A9D"/>
    <w:rsid w:val="0045295C"/>
    <w:rsid w:val="00453175"/>
    <w:rsid w:val="004546FA"/>
    <w:rsid w:val="00456DC4"/>
    <w:rsid w:val="004700E9"/>
    <w:rsid w:val="004722B3"/>
    <w:rsid w:val="004803DE"/>
    <w:rsid w:val="0048048E"/>
    <w:rsid w:val="00482284"/>
    <w:rsid w:val="00482A22"/>
    <w:rsid w:val="00482FC8"/>
    <w:rsid w:val="0048636B"/>
    <w:rsid w:val="00492874"/>
    <w:rsid w:val="004A3C55"/>
    <w:rsid w:val="004A5B5F"/>
    <w:rsid w:val="004A5D5C"/>
    <w:rsid w:val="004A5EB2"/>
    <w:rsid w:val="004B2802"/>
    <w:rsid w:val="004B4B05"/>
    <w:rsid w:val="004C1EE8"/>
    <w:rsid w:val="004C7324"/>
    <w:rsid w:val="004E03AF"/>
    <w:rsid w:val="004E467C"/>
    <w:rsid w:val="004E7F94"/>
    <w:rsid w:val="004F0ECD"/>
    <w:rsid w:val="004F1E3D"/>
    <w:rsid w:val="004F2036"/>
    <w:rsid w:val="004F4F1A"/>
    <w:rsid w:val="005025D9"/>
    <w:rsid w:val="005044F5"/>
    <w:rsid w:val="00505A7E"/>
    <w:rsid w:val="00506BA4"/>
    <w:rsid w:val="00526B99"/>
    <w:rsid w:val="005303F6"/>
    <w:rsid w:val="00533B5E"/>
    <w:rsid w:val="005363F1"/>
    <w:rsid w:val="005434B5"/>
    <w:rsid w:val="005609B8"/>
    <w:rsid w:val="00560D39"/>
    <w:rsid w:val="0056356A"/>
    <w:rsid w:val="00565CE8"/>
    <w:rsid w:val="00565D5D"/>
    <w:rsid w:val="005670A4"/>
    <w:rsid w:val="00567616"/>
    <w:rsid w:val="00583405"/>
    <w:rsid w:val="005C0C4B"/>
    <w:rsid w:val="005C1159"/>
    <w:rsid w:val="005C23A6"/>
    <w:rsid w:val="005C66F5"/>
    <w:rsid w:val="005D3972"/>
    <w:rsid w:val="005D5BA9"/>
    <w:rsid w:val="005E5159"/>
    <w:rsid w:val="005F2B33"/>
    <w:rsid w:val="005F6D05"/>
    <w:rsid w:val="005F7A49"/>
    <w:rsid w:val="00605B6A"/>
    <w:rsid w:val="00605DB0"/>
    <w:rsid w:val="0060625C"/>
    <w:rsid w:val="0060713E"/>
    <w:rsid w:val="00612EDD"/>
    <w:rsid w:val="00635CEC"/>
    <w:rsid w:val="006524FC"/>
    <w:rsid w:val="00661A55"/>
    <w:rsid w:val="00675467"/>
    <w:rsid w:val="00695014"/>
    <w:rsid w:val="006973F9"/>
    <w:rsid w:val="006A526D"/>
    <w:rsid w:val="006B6B5F"/>
    <w:rsid w:val="006C1181"/>
    <w:rsid w:val="006C2BFC"/>
    <w:rsid w:val="006C2D20"/>
    <w:rsid w:val="006C2ED3"/>
    <w:rsid w:val="006C35E9"/>
    <w:rsid w:val="006D3787"/>
    <w:rsid w:val="006D52EB"/>
    <w:rsid w:val="006D7D41"/>
    <w:rsid w:val="006E370A"/>
    <w:rsid w:val="006F04BB"/>
    <w:rsid w:val="006F27A8"/>
    <w:rsid w:val="006F4658"/>
    <w:rsid w:val="007039C6"/>
    <w:rsid w:val="007152CF"/>
    <w:rsid w:val="00717647"/>
    <w:rsid w:val="007302B0"/>
    <w:rsid w:val="007335D1"/>
    <w:rsid w:val="00734C94"/>
    <w:rsid w:val="007422D7"/>
    <w:rsid w:val="00745F3F"/>
    <w:rsid w:val="00746224"/>
    <w:rsid w:val="00747408"/>
    <w:rsid w:val="00751ADE"/>
    <w:rsid w:val="0075289A"/>
    <w:rsid w:val="00755DF5"/>
    <w:rsid w:val="00760503"/>
    <w:rsid w:val="007724E1"/>
    <w:rsid w:val="0077736E"/>
    <w:rsid w:val="007802EE"/>
    <w:rsid w:val="00781BBC"/>
    <w:rsid w:val="007830F3"/>
    <w:rsid w:val="007907C1"/>
    <w:rsid w:val="00795CFE"/>
    <w:rsid w:val="007A2387"/>
    <w:rsid w:val="007A34F4"/>
    <w:rsid w:val="007A4174"/>
    <w:rsid w:val="007B0832"/>
    <w:rsid w:val="007B1209"/>
    <w:rsid w:val="007B274E"/>
    <w:rsid w:val="007C1217"/>
    <w:rsid w:val="007C3B81"/>
    <w:rsid w:val="007C4537"/>
    <w:rsid w:val="007D610C"/>
    <w:rsid w:val="007F20E4"/>
    <w:rsid w:val="007F3C29"/>
    <w:rsid w:val="008063AF"/>
    <w:rsid w:val="008072D7"/>
    <w:rsid w:val="008072FC"/>
    <w:rsid w:val="00813730"/>
    <w:rsid w:val="0081465C"/>
    <w:rsid w:val="0082765B"/>
    <w:rsid w:val="008354A2"/>
    <w:rsid w:val="008445CC"/>
    <w:rsid w:val="008459E8"/>
    <w:rsid w:val="00853EF4"/>
    <w:rsid w:val="008554F2"/>
    <w:rsid w:val="00857450"/>
    <w:rsid w:val="0086102B"/>
    <w:rsid w:val="00861E49"/>
    <w:rsid w:val="00862576"/>
    <w:rsid w:val="008829F9"/>
    <w:rsid w:val="008861BB"/>
    <w:rsid w:val="00895B08"/>
    <w:rsid w:val="00896303"/>
    <w:rsid w:val="008A1B5D"/>
    <w:rsid w:val="008B0813"/>
    <w:rsid w:val="008B0BCC"/>
    <w:rsid w:val="008B3B03"/>
    <w:rsid w:val="008C0DAD"/>
    <w:rsid w:val="008C1D8E"/>
    <w:rsid w:val="008C4490"/>
    <w:rsid w:val="008D2844"/>
    <w:rsid w:val="008E3135"/>
    <w:rsid w:val="008E7623"/>
    <w:rsid w:val="008F2307"/>
    <w:rsid w:val="008F2D18"/>
    <w:rsid w:val="00903EAE"/>
    <w:rsid w:val="009040C0"/>
    <w:rsid w:val="00912EFE"/>
    <w:rsid w:val="00913CE9"/>
    <w:rsid w:val="0093297B"/>
    <w:rsid w:val="00946D20"/>
    <w:rsid w:val="0094743A"/>
    <w:rsid w:val="0095223A"/>
    <w:rsid w:val="009556A8"/>
    <w:rsid w:val="00955B18"/>
    <w:rsid w:val="00961066"/>
    <w:rsid w:val="00965B2A"/>
    <w:rsid w:val="00971B9C"/>
    <w:rsid w:val="0097516C"/>
    <w:rsid w:val="00982A1E"/>
    <w:rsid w:val="00984F44"/>
    <w:rsid w:val="009915AB"/>
    <w:rsid w:val="00997EFC"/>
    <w:rsid w:val="009A74E5"/>
    <w:rsid w:val="009B46F3"/>
    <w:rsid w:val="009C08B0"/>
    <w:rsid w:val="009D330F"/>
    <w:rsid w:val="009E0E9B"/>
    <w:rsid w:val="009E7D61"/>
    <w:rsid w:val="00A05263"/>
    <w:rsid w:val="00A058C3"/>
    <w:rsid w:val="00A132F3"/>
    <w:rsid w:val="00A231D1"/>
    <w:rsid w:val="00A274FA"/>
    <w:rsid w:val="00A40355"/>
    <w:rsid w:val="00A43638"/>
    <w:rsid w:val="00A4468D"/>
    <w:rsid w:val="00A57329"/>
    <w:rsid w:val="00A625ED"/>
    <w:rsid w:val="00A62B59"/>
    <w:rsid w:val="00A65992"/>
    <w:rsid w:val="00A77AA1"/>
    <w:rsid w:val="00A94B04"/>
    <w:rsid w:val="00AA63AF"/>
    <w:rsid w:val="00AB1DFD"/>
    <w:rsid w:val="00AB264D"/>
    <w:rsid w:val="00AD2964"/>
    <w:rsid w:val="00AE4401"/>
    <w:rsid w:val="00AF2419"/>
    <w:rsid w:val="00AF34C3"/>
    <w:rsid w:val="00B005EF"/>
    <w:rsid w:val="00B03AFB"/>
    <w:rsid w:val="00B126F4"/>
    <w:rsid w:val="00B2292F"/>
    <w:rsid w:val="00B3119C"/>
    <w:rsid w:val="00B3148E"/>
    <w:rsid w:val="00B36298"/>
    <w:rsid w:val="00B470F2"/>
    <w:rsid w:val="00B55E90"/>
    <w:rsid w:val="00B67ECE"/>
    <w:rsid w:val="00B73C29"/>
    <w:rsid w:val="00B750DB"/>
    <w:rsid w:val="00B760E1"/>
    <w:rsid w:val="00B81BA3"/>
    <w:rsid w:val="00B85337"/>
    <w:rsid w:val="00B96895"/>
    <w:rsid w:val="00BA1C8D"/>
    <w:rsid w:val="00BA670C"/>
    <w:rsid w:val="00BB0822"/>
    <w:rsid w:val="00BC5448"/>
    <w:rsid w:val="00BD7A5A"/>
    <w:rsid w:val="00BF4AF3"/>
    <w:rsid w:val="00C0650D"/>
    <w:rsid w:val="00C157A7"/>
    <w:rsid w:val="00C16B64"/>
    <w:rsid w:val="00C242C3"/>
    <w:rsid w:val="00C25073"/>
    <w:rsid w:val="00C2593A"/>
    <w:rsid w:val="00C36C34"/>
    <w:rsid w:val="00C404F2"/>
    <w:rsid w:val="00C425D2"/>
    <w:rsid w:val="00C51B7B"/>
    <w:rsid w:val="00C54BC2"/>
    <w:rsid w:val="00C5719F"/>
    <w:rsid w:val="00C669BC"/>
    <w:rsid w:val="00C705A1"/>
    <w:rsid w:val="00C81BE9"/>
    <w:rsid w:val="00C85D2B"/>
    <w:rsid w:val="00C86680"/>
    <w:rsid w:val="00C87807"/>
    <w:rsid w:val="00C90CB2"/>
    <w:rsid w:val="00C95E9C"/>
    <w:rsid w:val="00C97CA0"/>
    <w:rsid w:val="00CA5FCB"/>
    <w:rsid w:val="00CB1600"/>
    <w:rsid w:val="00CC36BC"/>
    <w:rsid w:val="00CD1D32"/>
    <w:rsid w:val="00CE0372"/>
    <w:rsid w:val="00CE087B"/>
    <w:rsid w:val="00CE137C"/>
    <w:rsid w:val="00CE58C7"/>
    <w:rsid w:val="00D07B8B"/>
    <w:rsid w:val="00D15529"/>
    <w:rsid w:val="00D174F0"/>
    <w:rsid w:val="00D20E24"/>
    <w:rsid w:val="00D24B09"/>
    <w:rsid w:val="00D25F7A"/>
    <w:rsid w:val="00D327FE"/>
    <w:rsid w:val="00D4547B"/>
    <w:rsid w:val="00D454D7"/>
    <w:rsid w:val="00D5079E"/>
    <w:rsid w:val="00D5399E"/>
    <w:rsid w:val="00D5672C"/>
    <w:rsid w:val="00D56943"/>
    <w:rsid w:val="00D57884"/>
    <w:rsid w:val="00D64BC3"/>
    <w:rsid w:val="00D75269"/>
    <w:rsid w:val="00D75DEC"/>
    <w:rsid w:val="00D8699A"/>
    <w:rsid w:val="00D86A4E"/>
    <w:rsid w:val="00D94CA4"/>
    <w:rsid w:val="00D96010"/>
    <w:rsid w:val="00DA0550"/>
    <w:rsid w:val="00DA2107"/>
    <w:rsid w:val="00DB3B95"/>
    <w:rsid w:val="00DC66FE"/>
    <w:rsid w:val="00DD1485"/>
    <w:rsid w:val="00DD23ED"/>
    <w:rsid w:val="00DD2A1D"/>
    <w:rsid w:val="00DD79C7"/>
    <w:rsid w:val="00DE0197"/>
    <w:rsid w:val="00DE0758"/>
    <w:rsid w:val="00DF43D6"/>
    <w:rsid w:val="00E0176F"/>
    <w:rsid w:val="00E06162"/>
    <w:rsid w:val="00E14D9F"/>
    <w:rsid w:val="00E22965"/>
    <w:rsid w:val="00E43562"/>
    <w:rsid w:val="00E4737C"/>
    <w:rsid w:val="00E476BD"/>
    <w:rsid w:val="00E51CE0"/>
    <w:rsid w:val="00E52AD4"/>
    <w:rsid w:val="00E551A6"/>
    <w:rsid w:val="00E620FF"/>
    <w:rsid w:val="00E64CFC"/>
    <w:rsid w:val="00E66BD7"/>
    <w:rsid w:val="00E67DF9"/>
    <w:rsid w:val="00E70E67"/>
    <w:rsid w:val="00E74F6C"/>
    <w:rsid w:val="00E8424F"/>
    <w:rsid w:val="00E86380"/>
    <w:rsid w:val="00EA28ED"/>
    <w:rsid w:val="00EA7943"/>
    <w:rsid w:val="00EB1785"/>
    <w:rsid w:val="00EC0853"/>
    <w:rsid w:val="00EC0EC7"/>
    <w:rsid w:val="00EC2954"/>
    <w:rsid w:val="00ED2039"/>
    <w:rsid w:val="00ED37CA"/>
    <w:rsid w:val="00ED561E"/>
    <w:rsid w:val="00EE56F0"/>
    <w:rsid w:val="00EE59AA"/>
    <w:rsid w:val="00EF2272"/>
    <w:rsid w:val="00EF2FDD"/>
    <w:rsid w:val="00F13206"/>
    <w:rsid w:val="00F14ED3"/>
    <w:rsid w:val="00F1587B"/>
    <w:rsid w:val="00F211E6"/>
    <w:rsid w:val="00F21591"/>
    <w:rsid w:val="00F34EB6"/>
    <w:rsid w:val="00F360F0"/>
    <w:rsid w:val="00F46674"/>
    <w:rsid w:val="00F50B06"/>
    <w:rsid w:val="00F5554A"/>
    <w:rsid w:val="00F5736B"/>
    <w:rsid w:val="00F61192"/>
    <w:rsid w:val="00F63C9F"/>
    <w:rsid w:val="00F63D67"/>
    <w:rsid w:val="00F66E47"/>
    <w:rsid w:val="00F675BD"/>
    <w:rsid w:val="00F70C27"/>
    <w:rsid w:val="00F762AE"/>
    <w:rsid w:val="00F77CDB"/>
    <w:rsid w:val="00F93AB3"/>
    <w:rsid w:val="00F95DB8"/>
    <w:rsid w:val="00FA114E"/>
    <w:rsid w:val="00FA1276"/>
    <w:rsid w:val="00FA1B1D"/>
    <w:rsid w:val="00FA5105"/>
    <w:rsid w:val="00FA6F2E"/>
    <w:rsid w:val="00FA7C7E"/>
    <w:rsid w:val="00FB01C2"/>
    <w:rsid w:val="00FB30F1"/>
    <w:rsid w:val="00FB370D"/>
    <w:rsid w:val="00FB7C9A"/>
    <w:rsid w:val="00FC46B1"/>
    <w:rsid w:val="00FD6FF3"/>
    <w:rsid w:val="00FD7865"/>
  </w:rsids>
  <m:mathPr>
    <m:mathFont m:val="Cambria Math"/>
    <m:brkBin m:val="before"/>
    <m:brkBinSub m:val="--"/>
    <m:smallFrac m:val="0"/>
    <m:dispDef/>
    <m:lMargin m:val="0"/>
    <m:rMargin m:val="0"/>
    <m:defJc m:val="centerGroup"/>
    <m:wrapIndent m:val="1440"/>
    <m:intLim m:val="subSup"/>
    <m:naryLim m:val="undOvr"/>
  </m:mathPr>
  <w:themeFontLang w:val="de-L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A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1217"/>
    <w:pPr>
      <w:ind w:left="720"/>
      <w:contextualSpacing/>
    </w:pPr>
  </w:style>
  <w:style w:type="paragraph" w:styleId="Notedebasdepage">
    <w:name w:val="footnote text"/>
    <w:basedOn w:val="Normal"/>
    <w:link w:val="NotedebasdepageCar"/>
    <w:unhideWhenUsed/>
    <w:rsid w:val="00C36C34"/>
    <w:pPr>
      <w:spacing w:after="0" w:line="240" w:lineRule="auto"/>
    </w:pPr>
    <w:rPr>
      <w:sz w:val="20"/>
      <w:szCs w:val="20"/>
    </w:rPr>
  </w:style>
  <w:style w:type="character" w:customStyle="1" w:styleId="NotedebasdepageCar">
    <w:name w:val="Note de bas de page Car"/>
    <w:basedOn w:val="Policepardfaut"/>
    <w:link w:val="Notedebasdepage"/>
    <w:rsid w:val="00C36C34"/>
    <w:rPr>
      <w:sz w:val="20"/>
      <w:szCs w:val="20"/>
    </w:rPr>
  </w:style>
  <w:style w:type="character" w:styleId="Appelnotedebasdep">
    <w:name w:val="footnote reference"/>
    <w:basedOn w:val="Policepardfaut"/>
    <w:unhideWhenUsed/>
    <w:rsid w:val="00C36C34"/>
    <w:rPr>
      <w:vertAlign w:val="superscript"/>
    </w:rPr>
  </w:style>
  <w:style w:type="paragraph" w:styleId="En-tte">
    <w:name w:val="header"/>
    <w:basedOn w:val="Normal"/>
    <w:link w:val="En-tteCar"/>
    <w:uiPriority w:val="99"/>
    <w:unhideWhenUsed/>
    <w:rsid w:val="000D5C58"/>
    <w:pPr>
      <w:tabs>
        <w:tab w:val="center" w:pos="4536"/>
        <w:tab w:val="right" w:pos="9072"/>
      </w:tabs>
      <w:spacing w:after="0" w:line="240" w:lineRule="auto"/>
    </w:pPr>
  </w:style>
  <w:style w:type="character" w:customStyle="1" w:styleId="En-tteCar">
    <w:name w:val="En-tête Car"/>
    <w:basedOn w:val="Policepardfaut"/>
    <w:link w:val="En-tte"/>
    <w:uiPriority w:val="99"/>
    <w:rsid w:val="000D5C58"/>
  </w:style>
  <w:style w:type="paragraph" w:styleId="Pieddepage">
    <w:name w:val="footer"/>
    <w:basedOn w:val="Normal"/>
    <w:link w:val="PieddepageCar"/>
    <w:uiPriority w:val="99"/>
    <w:unhideWhenUsed/>
    <w:rsid w:val="000D5C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C58"/>
  </w:style>
  <w:style w:type="character" w:styleId="Lienhypertexte">
    <w:name w:val="Hyperlink"/>
    <w:basedOn w:val="Policepardfaut"/>
    <w:uiPriority w:val="99"/>
    <w:unhideWhenUsed/>
    <w:rsid w:val="00DC66FE"/>
    <w:rPr>
      <w:color w:val="0000FF" w:themeColor="hyperlink"/>
      <w:u w:val="single"/>
    </w:rPr>
  </w:style>
  <w:style w:type="character" w:styleId="Lienhypertextesuivivisit">
    <w:name w:val="FollowedHyperlink"/>
    <w:basedOn w:val="Policepardfaut"/>
    <w:uiPriority w:val="99"/>
    <w:semiHidden/>
    <w:unhideWhenUsed/>
    <w:rsid w:val="006F27A8"/>
    <w:rPr>
      <w:color w:val="800080" w:themeColor="followedHyperlink"/>
      <w:u w:val="single"/>
    </w:rPr>
  </w:style>
  <w:style w:type="paragraph" w:styleId="Textedebulles">
    <w:name w:val="Balloon Text"/>
    <w:basedOn w:val="Normal"/>
    <w:link w:val="TextedebullesCar"/>
    <w:uiPriority w:val="99"/>
    <w:semiHidden/>
    <w:unhideWhenUsed/>
    <w:rsid w:val="002F6E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6E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1217"/>
    <w:pPr>
      <w:ind w:left="720"/>
      <w:contextualSpacing/>
    </w:pPr>
  </w:style>
  <w:style w:type="paragraph" w:styleId="Notedebasdepage">
    <w:name w:val="footnote text"/>
    <w:basedOn w:val="Normal"/>
    <w:link w:val="NotedebasdepageCar"/>
    <w:unhideWhenUsed/>
    <w:rsid w:val="00C36C34"/>
    <w:pPr>
      <w:spacing w:after="0" w:line="240" w:lineRule="auto"/>
    </w:pPr>
    <w:rPr>
      <w:sz w:val="20"/>
      <w:szCs w:val="20"/>
    </w:rPr>
  </w:style>
  <w:style w:type="character" w:customStyle="1" w:styleId="NotedebasdepageCar">
    <w:name w:val="Note de bas de page Car"/>
    <w:basedOn w:val="Policepardfaut"/>
    <w:link w:val="Notedebasdepage"/>
    <w:rsid w:val="00C36C34"/>
    <w:rPr>
      <w:sz w:val="20"/>
      <w:szCs w:val="20"/>
    </w:rPr>
  </w:style>
  <w:style w:type="character" w:styleId="Appelnotedebasdep">
    <w:name w:val="footnote reference"/>
    <w:basedOn w:val="Policepardfaut"/>
    <w:unhideWhenUsed/>
    <w:rsid w:val="00C36C34"/>
    <w:rPr>
      <w:vertAlign w:val="superscript"/>
    </w:rPr>
  </w:style>
  <w:style w:type="paragraph" w:styleId="En-tte">
    <w:name w:val="header"/>
    <w:basedOn w:val="Normal"/>
    <w:link w:val="En-tteCar"/>
    <w:uiPriority w:val="99"/>
    <w:unhideWhenUsed/>
    <w:rsid w:val="000D5C58"/>
    <w:pPr>
      <w:tabs>
        <w:tab w:val="center" w:pos="4536"/>
        <w:tab w:val="right" w:pos="9072"/>
      </w:tabs>
      <w:spacing w:after="0" w:line="240" w:lineRule="auto"/>
    </w:pPr>
  </w:style>
  <w:style w:type="character" w:customStyle="1" w:styleId="En-tteCar">
    <w:name w:val="En-tête Car"/>
    <w:basedOn w:val="Policepardfaut"/>
    <w:link w:val="En-tte"/>
    <w:uiPriority w:val="99"/>
    <w:rsid w:val="000D5C58"/>
  </w:style>
  <w:style w:type="paragraph" w:styleId="Pieddepage">
    <w:name w:val="footer"/>
    <w:basedOn w:val="Normal"/>
    <w:link w:val="PieddepageCar"/>
    <w:uiPriority w:val="99"/>
    <w:unhideWhenUsed/>
    <w:rsid w:val="000D5C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C58"/>
  </w:style>
  <w:style w:type="character" w:styleId="Lienhypertexte">
    <w:name w:val="Hyperlink"/>
    <w:basedOn w:val="Policepardfaut"/>
    <w:uiPriority w:val="99"/>
    <w:unhideWhenUsed/>
    <w:rsid w:val="00DC66FE"/>
    <w:rPr>
      <w:color w:val="0000FF" w:themeColor="hyperlink"/>
      <w:u w:val="single"/>
    </w:rPr>
  </w:style>
  <w:style w:type="character" w:styleId="Lienhypertextesuivivisit">
    <w:name w:val="FollowedHyperlink"/>
    <w:basedOn w:val="Policepardfaut"/>
    <w:uiPriority w:val="99"/>
    <w:semiHidden/>
    <w:unhideWhenUsed/>
    <w:rsid w:val="006F27A8"/>
    <w:rPr>
      <w:color w:val="800080" w:themeColor="followedHyperlink"/>
      <w:u w:val="single"/>
    </w:rPr>
  </w:style>
  <w:style w:type="paragraph" w:styleId="Textedebulles">
    <w:name w:val="Balloon Text"/>
    <w:basedOn w:val="Normal"/>
    <w:link w:val="TextedebullesCar"/>
    <w:uiPriority w:val="99"/>
    <w:semiHidden/>
    <w:unhideWhenUsed/>
    <w:rsid w:val="002F6E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6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757380">
      <w:bodyDiv w:val="1"/>
      <w:marLeft w:val="0"/>
      <w:marRight w:val="0"/>
      <w:marTop w:val="0"/>
      <w:marBottom w:val="0"/>
      <w:divBdr>
        <w:top w:val="none" w:sz="0" w:space="0" w:color="auto"/>
        <w:left w:val="none" w:sz="0" w:space="0" w:color="auto"/>
        <w:bottom w:val="none" w:sz="0" w:space="0" w:color="auto"/>
        <w:right w:val="none" w:sz="0" w:space="0" w:color="auto"/>
      </w:divBdr>
    </w:div>
    <w:div w:id="95448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DE/TXT/?uri=CELEX:61999CJ0496" TargetMode="External"/><Relationship Id="rId13" Type="http://schemas.openxmlformats.org/officeDocument/2006/relationships/hyperlink" Target="http://eur-lex.europa.eu/legal-content/DE/TXT/?uri=CELEX:62001CJ0207" TargetMode="External"/><Relationship Id="rId3" Type="http://schemas.openxmlformats.org/officeDocument/2006/relationships/hyperlink" Target="http://eur-lex.europa.eu/legal-content/DE/TXT/?uri=CELEX:61983CJ0294" TargetMode="External"/><Relationship Id="rId7" Type="http://schemas.openxmlformats.org/officeDocument/2006/relationships/hyperlink" Target="http://eur-lex.europa.eu/legal-content/DE/TXT/?uri=CELEX:62005CJ0303" TargetMode="External"/><Relationship Id="rId12" Type="http://schemas.openxmlformats.org/officeDocument/2006/relationships/hyperlink" Target="http://eur-lex.europa.eu/legal-content/DE/TXT/?uri=CELEX:61988CJ0322" TargetMode="External"/><Relationship Id="rId2" Type="http://schemas.openxmlformats.org/officeDocument/2006/relationships/hyperlink" Target="http://www.robert-schuman.eu/fr/questions-d-europe/0049-apres-l-adhesion-de-la-bulgarie-et-la-roumanie-en-finir-avec-l-opposition-entre-elargissement" TargetMode="External"/><Relationship Id="rId1" Type="http://schemas.openxmlformats.org/officeDocument/2006/relationships/hyperlink" Target="http://www.conseil-etat.fr/Actualites/Discours-Interventions/La-Charte-des-droits-fondamentaux-de-l-Union-europeenne-mode-d-emploi" TargetMode="External"/><Relationship Id="rId6" Type="http://schemas.openxmlformats.org/officeDocument/2006/relationships/hyperlink" Target="http://eur-lex.europa.eu/legal-content/DE/TXT/?uri=CELEX:62009CJ0279" TargetMode="External"/><Relationship Id="rId11" Type="http://schemas.openxmlformats.org/officeDocument/2006/relationships/hyperlink" Target="http://eur-lex.europa.eu/legal-content/DE/TXT/?uri=CELEX:62008CJ0317" TargetMode="External"/><Relationship Id="rId5" Type="http://schemas.openxmlformats.org/officeDocument/2006/relationships/hyperlink" Target="http://eur-lex.europa.eu/legal-content/DE/TXT/?uri=CELEX:62011CJ0583" TargetMode="External"/><Relationship Id="rId10" Type="http://schemas.openxmlformats.org/officeDocument/2006/relationships/hyperlink" Target="http://www.robert-schuman.eu/fr/questions-d-europe/0356-renforcer-le-respect-de-l-etat-de-droit-dans-l-ue-regards-critiques-sur-les-nouveaux" TargetMode="External"/><Relationship Id="rId4" Type="http://schemas.openxmlformats.org/officeDocument/2006/relationships/hyperlink" Target="http://eur-lex.europa.eu/legal-content/DE/TXT/?uri=CELEX:61983CJ0294" TargetMode="External"/><Relationship Id="rId9" Type="http://schemas.openxmlformats.org/officeDocument/2006/relationships/hyperlink" Target="http://eur-lex.europa.eu/legal-content/DE/TXT/?uri=CELEX:62010CJ0617" TargetMode="External"/><Relationship Id="rId14" Type="http://schemas.openxmlformats.org/officeDocument/2006/relationships/hyperlink" Target="http://www.europarl.europa.eu/sides/getDoc.do?type=REPORT&amp;reference=A8-2015-0230&amp;language=FR"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4698E-022F-4BB2-86E7-3411C4CD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4836</Words>
  <Characters>26601</Characters>
  <Application>Microsoft Office Word</Application>
  <DocSecurity>0</DocSecurity>
  <Lines>221</Lines>
  <Paragraphs>62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31375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Skouri Vassiliki</dc:creator>
  <cp:lastModifiedBy>mriout</cp:lastModifiedBy>
  <cp:revision>2</cp:revision>
  <cp:lastPrinted>2015-09-23T20:33:00Z</cp:lastPrinted>
  <dcterms:created xsi:type="dcterms:W3CDTF">2015-10-09T09:33:00Z</dcterms:created>
  <dcterms:modified xsi:type="dcterms:W3CDTF">2015-10-09T09:33:00Z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C_Position_NotVademecum">
    <vt:lpwstr>0</vt:lpwstr>
  </property>
</Properties>
</file>